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right"/>
        <w:rPr>
          <w:rFonts w:hint="eastAsia" w:ascii="仿宋_GB2312" w:hAnsi="华文中宋" w:eastAsia="仿宋_GB2312"/>
          <w:b/>
          <w:bCs/>
          <w:kern w:val="0"/>
          <w:sz w:val="28"/>
          <w:szCs w:val="28"/>
          <w:u w:val="single"/>
        </w:rPr>
      </w:pPr>
      <w:bookmarkStart w:id="0" w:name="_GoBack"/>
      <w:bookmarkEnd w:id="0"/>
      <w:r>
        <w:rPr>
          <w:rFonts w:hint="eastAsia" w:ascii="仿宋_GB2312" w:hAnsi="华文中宋" w:eastAsia="仿宋_GB2312"/>
          <w:b/>
          <w:bCs/>
          <w:kern w:val="0"/>
          <w:sz w:val="28"/>
          <w:szCs w:val="28"/>
        </w:rPr>
        <w:t>编号：</w:t>
      </w:r>
      <w:r>
        <w:rPr>
          <w:rFonts w:hint="eastAsia" w:ascii="仿宋_GB2312" w:hAnsi="华文中宋" w:eastAsia="仿宋_GB2312"/>
          <w:b/>
          <w:bCs/>
          <w:kern w:val="0"/>
          <w:sz w:val="28"/>
          <w:szCs w:val="28"/>
          <w:u w:val="single"/>
        </w:rPr>
        <w:t>2021/DC/02/037/09</w:t>
      </w:r>
    </w:p>
    <w:p>
      <w:pPr>
        <w:ind w:left="-359" w:leftChars="-173" w:hanging="4" w:hangingChars="1"/>
        <w:rPr>
          <w:rFonts w:hint="eastAsia" w:ascii="黑体" w:hAnsi="华文中宋" w:eastAsia="黑体"/>
          <w:b/>
          <w:spacing w:val="20"/>
          <w:sz w:val="32"/>
          <w:szCs w:val="32"/>
          <w:u w:val="single"/>
        </w:rPr>
      </w:pPr>
      <w:r>
        <w:rPr>
          <w:rFonts w:hint="eastAsia" w:ascii="黑体" w:hAnsi="华文中宋" w:eastAsia="黑体"/>
          <w:b/>
          <w:spacing w:val="20"/>
          <w:sz w:val="32"/>
          <w:szCs w:val="32"/>
        </w:rPr>
        <w:t>课题名称:</w:t>
      </w:r>
      <w:r>
        <w:rPr>
          <w:rFonts w:hint="eastAsia" w:ascii="黑体" w:hAnsi="华文中宋" w:eastAsia="黑体"/>
          <w:b/>
          <w:spacing w:val="20"/>
          <w:sz w:val="32"/>
          <w:szCs w:val="32"/>
          <w:u w:val="single"/>
        </w:rPr>
        <w:t xml:space="preserve">    </w:t>
      </w:r>
      <w:r>
        <w:rPr>
          <w:rFonts w:hint="eastAsia" w:ascii="黑体" w:hAnsi="华文中宋" w:eastAsia="黑体"/>
          <w:b/>
          <w:spacing w:val="20"/>
          <w:sz w:val="21"/>
          <w:szCs w:val="21"/>
          <w:u w:val="single"/>
        </w:rPr>
        <w:t xml:space="preserve"> </w:t>
      </w:r>
      <w:r>
        <w:rPr>
          <w:rFonts w:hint="eastAsia" w:ascii="宋体" w:hAnsi="宋体" w:eastAsia="宋体" w:cs="宋体"/>
          <w:sz w:val="21"/>
          <w:szCs w:val="21"/>
          <w:u w:val="single"/>
          <w:lang w:val="en-US" w:eastAsia="zh-CN"/>
        </w:rPr>
        <w:t>基于发现教育的普通高中实施研究性学习课程调查研究</w:t>
      </w:r>
      <w:r>
        <w:rPr>
          <w:rFonts w:hint="eastAsia" w:ascii="黑体" w:hAnsi="华文中宋" w:eastAsia="黑体"/>
          <w:b/>
          <w:spacing w:val="20"/>
          <w:sz w:val="21"/>
          <w:szCs w:val="21"/>
          <w:u w:val="single"/>
        </w:rPr>
        <w:t xml:space="preserve"> </w:t>
      </w:r>
      <w:r>
        <w:rPr>
          <w:rFonts w:hint="eastAsia" w:ascii="黑体" w:hAnsi="华文中宋" w:eastAsia="黑体"/>
          <w:b/>
          <w:spacing w:val="20"/>
          <w:sz w:val="32"/>
          <w:szCs w:val="32"/>
          <w:u w:val="single"/>
        </w:rPr>
        <w:t xml:space="preserve">                               </w:t>
      </w:r>
    </w:p>
    <w:p>
      <w:pPr>
        <w:ind w:left="-131" w:leftChars="-172" w:hanging="230" w:hangingChars="82"/>
        <w:rPr>
          <w:rFonts w:hint="eastAsia" w:ascii="华文中宋" w:hAnsi="华文中宋" w:eastAsia="华文中宋"/>
          <w:b/>
          <w:spacing w:val="20"/>
          <w:sz w:val="24"/>
        </w:rPr>
      </w:pPr>
      <w:r>
        <w:rPr>
          <w:rFonts w:hint="eastAsia" w:ascii="华文中宋" w:hAnsi="华文中宋" w:eastAsia="华文中宋"/>
          <w:b/>
          <w:spacing w:val="20"/>
          <w:sz w:val="24"/>
        </w:rPr>
        <w:t>设计与论证报告(</w:t>
      </w:r>
      <w:r>
        <w:rPr>
          <w:rFonts w:hint="eastAsia" w:ascii="仿宋_GB2312" w:hAnsi="华文中宋" w:eastAsia="仿宋_GB2312"/>
          <w:b/>
          <w:spacing w:val="20"/>
          <w:sz w:val="24"/>
        </w:rPr>
        <w:t>5000字以内，不得出现学校和课题组相关人员名字</w:t>
      </w:r>
      <w:r>
        <w:rPr>
          <w:rFonts w:hint="eastAsia" w:ascii="华文中宋" w:hAnsi="华文中宋" w:eastAsia="华文中宋"/>
          <w:b/>
          <w:spacing w:val="20"/>
          <w:sz w:val="24"/>
        </w:rPr>
        <w:t>)</w:t>
      </w:r>
    </w:p>
    <w:tbl>
      <w:tblPr>
        <w:tblStyle w:val="5"/>
        <w:tblW w:w="0" w:type="auto"/>
        <w:tblInd w:w="-25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1256"/>
        <w:gridCol w:w="3698"/>
        <w:gridCol w:w="1704"/>
        <w:gridCol w:w="2116"/>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80" w:hRule="atLeast"/>
        </w:trPr>
        <w:tc>
          <w:tcPr>
            <w:tcW w:w="0" w:type="auto"/>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rPr>
                <w:rFonts w:hint="eastAsia" w:ascii="华文细黑" w:hAnsi="华文细黑" w:eastAsia="华文细黑"/>
                <w:szCs w:val="21"/>
              </w:rPr>
            </w:pPr>
            <w:r>
              <w:rPr>
                <w:rFonts w:hint="eastAsia" w:ascii="华文细黑" w:hAnsi="华文细黑" w:eastAsia="华文细黑"/>
                <w:szCs w:val="21"/>
              </w:rPr>
              <w:t>（一）课题的核心概念及其界定</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159" w:hRule="atLeast"/>
        </w:trPr>
        <w:tc>
          <w:tcPr>
            <w:tcW w:w="0" w:type="auto"/>
            <w:gridSpan w:val="4"/>
            <w:tcBorders>
              <w:top w:val="single" w:color="auto" w:sz="4" w:space="0"/>
              <w:left w:val="single" w:color="auto" w:sz="4" w:space="0"/>
              <w:bottom w:val="single" w:color="auto" w:sz="4" w:space="0"/>
              <w:right w:val="single" w:color="auto" w:sz="4" w:space="0"/>
            </w:tcBorders>
            <w:noWrap w:val="0"/>
            <w:vAlign w:val="top"/>
          </w:tcPr>
          <w:p>
            <w:pPr>
              <w:numPr>
                <w:ilvl w:val="0"/>
                <w:numId w:val="0"/>
              </w:numPr>
              <w:ind w:firstLine="361" w:firstLineChars="200"/>
              <w:rPr>
                <w:rFonts w:hint="eastAsia" w:ascii="宋体" w:hAnsi="宋体" w:eastAsia="宋体" w:cs="宋体"/>
                <w:color w:val="auto"/>
                <w:sz w:val="18"/>
                <w:szCs w:val="18"/>
                <w:lang w:val="en-US" w:eastAsia="zh-CN"/>
              </w:rPr>
            </w:pPr>
            <w:r>
              <w:rPr>
                <w:rFonts w:hint="eastAsia" w:ascii="宋体" w:hAnsi="宋体" w:eastAsia="宋体" w:cs="宋体"/>
                <w:b/>
                <w:bCs/>
                <w:color w:val="auto"/>
                <w:sz w:val="18"/>
                <w:szCs w:val="18"/>
                <w:lang w:val="en-US" w:eastAsia="zh-CN"/>
              </w:rPr>
              <w:t>发现教育</w:t>
            </w:r>
            <w:r>
              <w:rPr>
                <w:rFonts w:hint="eastAsia" w:ascii="宋体" w:hAnsi="宋体" w:eastAsia="宋体" w:cs="宋体"/>
                <w:color w:val="auto"/>
                <w:sz w:val="18"/>
                <w:szCs w:val="18"/>
                <w:lang w:val="en-US" w:eastAsia="zh-CN"/>
              </w:rPr>
              <w:t>：“发现”是指经过观察、调查、汇总、分析、研究、实践、探索等。发现教育一般是指教育者基于汇集有效数据、发现的基本原理、窥察发展方向、遵循成长规律，以教育教学模式的改进为手段，以发现和激发学生共性和个性的潜能并促成其自我全面发展为目标的育人活动。本课题中是指吸纳已有理论，在教智融合背景下，在基于普通高中实施研究性学习课程调查基础上，以“发现人，唤醒人，发展人”为价值取向的研究性学习教育教学实践。</w:t>
            </w:r>
          </w:p>
          <w:p>
            <w:pPr>
              <w:numPr>
                <w:ilvl w:val="0"/>
                <w:numId w:val="0"/>
              </w:numPr>
              <w:ind w:firstLine="361" w:firstLineChars="200"/>
              <w:rPr>
                <w:rFonts w:hint="eastAsia" w:ascii="宋体" w:hAnsi="宋体" w:eastAsia="宋体" w:cs="宋体"/>
                <w:color w:val="auto"/>
                <w:sz w:val="18"/>
                <w:szCs w:val="18"/>
                <w:lang w:val="en-US" w:eastAsia="zh-CN"/>
              </w:rPr>
            </w:pPr>
            <w:r>
              <w:rPr>
                <w:rFonts w:hint="eastAsia" w:ascii="宋体" w:hAnsi="宋体" w:eastAsia="宋体" w:cs="宋体"/>
                <w:b/>
                <w:bCs/>
                <w:color w:val="auto"/>
                <w:sz w:val="18"/>
                <w:szCs w:val="18"/>
                <w:lang w:val="en-US" w:eastAsia="zh-CN"/>
              </w:rPr>
              <w:t>研究性学习课程</w:t>
            </w:r>
            <w:r>
              <w:rPr>
                <w:rFonts w:hint="eastAsia" w:ascii="宋体" w:hAnsi="宋体" w:eastAsia="宋体" w:cs="宋体"/>
                <w:color w:val="auto"/>
                <w:sz w:val="18"/>
                <w:szCs w:val="18"/>
                <w:lang w:val="en-US" w:eastAsia="zh-CN"/>
              </w:rPr>
              <w:t>：研究性学习在英文中称为“Inquiry Learning”，它不同于一般的学科课程，没有特定的知识体系，也不局限于某一学科领域，是</w:t>
            </w:r>
            <w:r>
              <w:rPr>
                <w:rFonts w:ascii="宋体" w:hAnsi="宋体" w:eastAsia="宋体" w:cs="宋体"/>
                <w:color w:val="auto"/>
                <w:sz w:val="18"/>
                <w:szCs w:val="18"/>
              </w:rPr>
              <w:t>一种</w:t>
            </w:r>
            <w:r>
              <w:rPr>
                <w:rFonts w:hint="eastAsia" w:ascii="宋体" w:hAnsi="宋体" w:eastAsia="宋体" w:cs="宋体"/>
                <w:color w:val="auto"/>
                <w:sz w:val="18"/>
                <w:szCs w:val="18"/>
                <w:lang w:val="en-US" w:eastAsia="zh-CN"/>
              </w:rPr>
              <w:t>开放的、</w:t>
            </w:r>
            <w:r>
              <w:rPr>
                <w:rFonts w:ascii="宋体" w:hAnsi="宋体" w:eastAsia="宋体" w:cs="宋体"/>
                <w:color w:val="auto"/>
                <w:sz w:val="18"/>
                <w:szCs w:val="18"/>
              </w:rPr>
              <w:t>灵活的、积极的</w:t>
            </w:r>
            <w:r>
              <w:rPr>
                <w:rFonts w:hint="eastAsia" w:ascii="宋体" w:hAnsi="宋体" w:eastAsia="宋体" w:cs="宋体"/>
                <w:color w:val="auto"/>
                <w:sz w:val="18"/>
                <w:szCs w:val="18"/>
                <w:lang w:val="en-US" w:eastAsia="zh-CN"/>
              </w:rPr>
              <w:t>发现问题、分析问题和解决问题的</w:t>
            </w:r>
            <w:r>
              <w:rPr>
                <w:rFonts w:ascii="宋体" w:hAnsi="宋体" w:eastAsia="宋体" w:cs="宋体"/>
                <w:color w:val="auto"/>
                <w:sz w:val="18"/>
                <w:szCs w:val="18"/>
              </w:rPr>
              <w:t>学习过程,</w:t>
            </w:r>
            <w:r>
              <w:rPr>
                <w:rFonts w:hint="eastAsia" w:ascii="宋体" w:hAnsi="宋体" w:eastAsia="宋体" w:cs="宋体"/>
                <w:color w:val="auto"/>
                <w:sz w:val="18"/>
                <w:szCs w:val="18"/>
                <w:lang w:val="en-US" w:eastAsia="zh-CN"/>
              </w:rPr>
              <w:t>它具有</w:t>
            </w:r>
            <w:r>
              <w:rPr>
                <w:rFonts w:ascii="宋体" w:hAnsi="宋体" w:eastAsia="宋体" w:cs="宋体"/>
                <w:color w:val="auto"/>
                <w:sz w:val="18"/>
                <w:szCs w:val="18"/>
              </w:rPr>
              <w:t>以问题、调查研究、探索、应用、综合为其基本特点</w:t>
            </w:r>
            <w:r>
              <w:rPr>
                <w:rFonts w:hint="eastAsia" w:ascii="宋体" w:hAnsi="宋体" w:eastAsia="宋体" w:cs="宋体"/>
                <w:color w:val="auto"/>
                <w:sz w:val="18"/>
                <w:szCs w:val="18"/>
                <w:lang w:eastAsia="zh-CN"/>
              </w:rPr>
              <w:t>，</w:t>
            </w:r>
            <w:r>
              <w:rPr>
                <w:rFonts w:ascii="宋体" w:hAnsi="宋体" w:eastAsia="宋体" w:cs="宋体"/>
                <w:color w:val="auto"/>
                <w:sz w:val="18"/>
                <w:szCs w:val="18"/>
              </w:rPr>
              <w:t>既是一种教育理念,又是一种学习方式,又是一门课程</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从课程的结构形式考量，研究性学习是综合实践活动课程的一个重要而相对独立的部分。</w:t>
            </w:r>
          </w:p>
          <w:p>
            <w:pPr>
              <w:numPr>
                <w:ilvl w:val="0"/>
                <w:numId w:val="0"/>
              </w:numPr>
              <w:ind w:firstLine="361" w:firstLineChars="200"/>
              <w:jc w:val="left"/>
              <w:rPr>
                <w:rFonts w:hint="eastAsia" w:ascii="宋体" w:hAnsi="宋体" w:eastAsia="宋体" w:cs="宋体"/>
                <w:color w:val="auto"/>
                <w:sz w:val="18"/>
                <w:szCs w:val="18"/>
                <w:lang w:val="en-US" w:eastAsia="zh-CN"/>
              </w:rPr>
            </w:pPr>
            <w:r>
              <w:rPr>
                <w:rFonts w:hint="eastAsia" w:ascii="宋体" w:hAnsi="宋体" w:eastAsia="宋体" w:cs="宋体"/>
                <w:b/>
                <w:bCs/>
                <w:color w:val="auto"/>
                <w:sz w:val="18"/>
                <w:szCs w:val="18"/>
                <w:lang w:val="en-US" w:eastAsia="zh-CN"/>
              </w:rPr>
              <w:t>调查研究</w:t>
            </w:r>
            <w:r>
              <w:rPr>
                <w:rFonts w:hint="eastAsia" w:ascii="宋体" w:hAnsi="宋体" w:eastAsia="宋体" w:cs="宋体"/>
                <w:color w:val="auto"/>
                <w:sz w:val="18"/>
                <w:szCs w:val="18"/>
                <w:lang w:val="en-US" w:eastAsia="zh-CN"/>
              </w:rPr>
              <w:t>：课题研究中采取问卷调查法、网络调查法、实地调研法和访谈法，有针对性、非诱导性的调查不同群体的样本，采取有目的、有计划、系统性的去了解某一方面的特殊问题，并对问卷或访谈的结果进行统计、汇总和分析，以发现存在问题及其产生的原因，探索某种规律而采取的综合研究方法。</w:t>
            </w:r>
          </w:p>
          <w:p>
            <w:pPr>
              <w:spacing w:line="360" w:lineRule="exact"/>
              <w:ind w:right="-107" w:rightChars="-51" w:firstLine="361" w:firstLineChars="200"/>
              <w:rPr>
                <w:rFonts w:hint="eastAsia" w:ascii="宋体" w:hAnsi="宋体"/>
                <w:b/>
                <w:szCs w:val="21"/>
              </w:rPr>
            </w:pPr>
            <w:r>
              <w:rPr>
                <w:rFonts w:hint="eastAsia" w:ascii="宋体" w:hAnsi="宋体" w:eastAsia="宋体" w:cs="宋体"/>
                <w:b/>
                <w:bCs/>
                <w:color w:val="auto"/>
                <w:sz w:val="18"/>
                <w:szCs w:val="18"/>
                <w:lang w:val="en-US" w:eastAsia="zh-CN"/>
              </w:rPr>
              <w:t>基于发现教育的普通高中实施研究性学习课程调查研究</w:t>
            </w:r>
            <w:r>
              <w:rPr>
                <w:rFonts w:hint="eastAsia" w:ascii="宋体" w:hAnsi="宋体" w:eastAsia="宋体" w:cs="宋体"/>
                <w:color w:val="auto"/>
                <w:sz w:val="18"/>
                <w:szCs w:val="18"/>
                <w:lang w:val="en-US" w:eastAsia="zh-CN"/>
              </w:rPr>
              <w:t>：研究性学习以学生的自主性、探索性学习为基础,从学生生活和社会生活中选择和确定研究专题。该课题以调查研究作为“发现教育”的驱动要素，促进研究者从数据发现研究性学习课程的教学得失、转变教育教学方式，开展适合的研究性学习；结合调查结果合理筛选、分析、归纳，反馈、提供给有关部门或学校领导作决策参考，以此促进学生自我认知，激发自主探究、大胆质疑，多途径、创新性的解决问题，不断提升综合素养；推动学校“发现教育”整体性高品质内涵式发展。</w:t>
            </w:r>
          </w:p>
          <w:p>
            <w:pPr>
              <w:spacing w:line="360" w:lineRule="exact"/>
              <w:ind w:right="-107" w:rightChars="-51"/>
              <w:rPr>
                <w:rFonts w:hint="eastAsia" w:ascii="宋体" w:hAnsi="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90" w:hRule="atLeast"/>
        </w:trPr>
        <w:tc>
          <w:tcPr>
            <w:tcW w:w="0" w:type="auto"/>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宋体" w:hAnsi="宋体"/>
                <w:b/>
                <w:szCs w:val="21"/>
              </w:rPr>
            </w:pPr>
            <w:r>
              <w:rPr>
                <w:rFonts w:hint="eastAsia" w:ascii="华文细黑" w:hAnsi="华文细黑" w:eastAsia="华文细黑"/>
                <w:szCs w:val="21"/>
              </w:rPr>
              <w:t>（二）国内外同一研究领域现状与研究的价值</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195" w:hRule="atLeast"/>
        </w:trPr>
        <w:tc>
          <w:tcPr>
            <w:tcW w:w="0" w:type="auto"/>
            <w:gridSpan w:val="4"/>
            <w:tcBorders>
              <w:top w:val="single" w:color="auto" w:sz="4" w:space="0"/>
              <w:left w:val="single" w:color="auto" w:sz="4" w:space="0"/>
              <w:bottom w:val="single" w:color="auto" w:sz="4" w:space="0"/>
              <w:right w:val="single" w:color="auto" w:sz="4" w:space="0"/>
            </w:tcBorders>
            <w:noWrap w:val="0"/>
            <w:vAlign w:val="top"/>
          </w:tcPr>
          <w:p>
            <w:pPr>
              <w:numPr>
                <w:ilvl w:val="0"/>
                <w:numId w:val="0"/>
              </w:numPr>
              <w:ind w:firstLine="360" w:firstLineChars="20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当前科研领域对研究性学习课程的研究不少，总体侧重国家和地方教育主管部门管理层面的整体架构和宏观理想思考，但就研究性学习课程本身在现实开发实施方面的案例经验和深入调查研究较少。研究性学习对核心素养的研究很多，但大多关注课程标准和国家教材的分析应用，缺少研究性学习核心素养如何在高中校本课程开发与实施中的应用研究，更难得一见指向研究性学习课程的调查研究。</w:t>
            </w:r>
          </w:p>
          <w:p>
            <w:pPr>
              <w:numPr>
                <w:ilvl w:val="0"/>
                <w:numId w:val="0"/>
              </w:numPr>
              <w:ind w:firstLine="360" w:firstLineChars="20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在“中国知网”中同时键入本课题的“发现教育、研究性学习、调查研究”三个核心概念时，得到0条结果；考虑到对同一概念的理解和提法不同，当我们搜索“发现教育、调查研究”时，还是得到了0条结果；当我们将搜索关键词改为更为聚焦的“研究性学习、调查研究”时，搜索到的文章也只有4条，且借鉴价值不大。这说明对本课题的研究在国内也几乎是空白。然而，当我们在“中国知网”中单独输入“调查研究”时，得到76372条结果；单独输入“研究性学习”时，得到26660条结果，单独输入“发现教育”时，得到1160条结果。这说明对本课题所涉及的三个核心概念，都有大量的学校、机构和个人在研究，这将为我们的课题调查研究提供大量的可资学习和借鉴的经验与案例。</w:t>
            </w:r>
          </w:p>
          <w:p>
            <w:pPr>
              <w:numPr>
                <w:ilvl w:val="0"/>
                <w:numId w:val="0"/>
              </w:numPr>
              <w:ind w:firstLine="360" w:firstLineChars="20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（1）课程价值体认  20世纪90年代以来，欧美诸国纷纷倡导“主题探究”与“设计学习”活动，研究性学习得以广泛倡导。目前，国内对研究性学习的研究己进入实践操作层面。2001年4月9日,教育部印发了《普通高中“研究性学习”实施指南(试行)》(以下简称《指南》)的通知,将研究性学习作为必修课程列入《全日制普通高级中学课程计划(试验修订稿)》。研究性学习关注高中生的生存方式,满足学生成长的需要和新时代中国社会发展的需求；转变高中生的学习方式,改变单一的知识接受性的学习方式,发展学生终身学习的愿望,培养创新精神,提升综合实践能力；面向高中生的生活世界,自主地提出活动主题,密切学生与生活、与社会的真实联系。</w:t>
            </w:r>
          </w:p>
          <w:p>
            <w:pPr>
              <w:numPr>
                <w:ilvl w:val="0"/>
                <w:numId w:val="0"/>
              </w:numPr>
              <w:ind w:firstLine="360" w:firstLineChars="20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（2）课程方案规定 研究性学习是综合实践活动课程的有机组成部分，教育部制定的《普通高中课程方案(2017年版2020年修订)》中明确规定:综合实践活动共8学分,包括研究性学习、党团活动、军训、社会考察等,研究性学习6学分(完成2个课题研究或项目设计,以开展跨学科研究为主)。</w:t>
            </w:r>
          </w:p>
          <w:p>
            <w:pPr>
              <w:numPr>
                <w:ilvl w:val="0"/>
                <w:numId w:val="0"/>
              </w:numPr>
              <w:ind w:firstLine="360" w:firstLineChars="20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（3）实际现状反差 现实中，研究性学习所取得的效果与《普通高中“研究性学习”实施指南(试行))中所设定的研究性学习目标还相去甚远，而且出现了将研究性学习等同于做课题，只对少数学生开展研究性学习等不好的现象，甚至还出现了研究性学习课程开展不下去或开展流于形式的情况。</w:t>
            </w:r>
          </w:p>
          <w:p>
            <w:pPr>
              <w:numPr>
                <w:ilvl w:val="0"/>
                <w:numId w:val="0"/>
              </w:numPr>
              <w:ind w:firstLine="360" w:firstLineChars="200"/>
              <w:jc w:val="both"/>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2．本课题研究的价值</w:t>
            </w:r>
          </w:p>
          <w:p>
            <w:pPr>
              <w:numPr>
                <w:ilvl w:val="0"/>
                <w:numId w:val="0"/>
              </w:numPr>
              <w:ind w:firstLine="360" w:firstLineChars="200"/>
              <w:jc w:val="both"/>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（1）学校层面：新一轮普通高中课程标准的修订，</w:t>
            </w:r>
            <w:r>
              <w:rPr>
                <w:rFonts w:hint="eastAsia" w:ascii="宋体" w:hAnsi="宋体" w:eastAsia="宋体" w:cs="宋体"/>
                <w:color w:val="auto"/>
                <w:sz w:val="18"/>
                <w:szCs w:val="18"/>
                <w:lang w:val="en-US" w:eastAsia="zh-CN"/>
              </w:rPr>
              <w:t>破解课程落实的阻力，</w:t>
            </w:r>
            <w:r>
              <w:rPr>
                <w:rFonts w:hint="default" w:ascii="宋体" w:hAnsi="宋体" w:eastAsia="宋体" w:cs="宋体"/>
                <w:color w:val="auto"/>
                <w:sz w:val="18"/>
                <w:szCs w:val="18"/>
                <w:lang w:val="en-US" w:eastAsia="zh-CN"/>
              </w:rPr>
              <w:t>建立核心素养与</w:t>
            </w:r>
            <w:r>
              <w:rPr>
                <w:rFonts w:hint="eastAsia" w:ascii="宋体" w:hAnsi="宋体" w:eastAsia="宋体" w:cs="宋体"/>
                <w:color w:val="auto"/>
                <w:sz w:val="18"/>
                <w:szCs w:val="18"/>
                <w:lang w:val="en-US" w:eastAsia="zh-CN"/>
              </w:rPr>
              <w:t>研究性学习</w:t>
            </w:r>
            <w:r>
              <w:rPr>
                <w:rFonts w:hint="default" w:ascii="宋体" w:hAnsi="宋体" w:eastAsia="宋体" w:cs="宋体"/>
                <w:color w:val="auto"/>
                <w:sz w:val="18"/>
                <w:szCs w:val="18"/>
                <w:lang w:val="en-US" w:eastAsia="zh-CN"/>
              </w:rPr>
              <w:t>课程的内在联系，也强化了学校在课程开发中的自主权，课题研究力图帮助学校从需求论证、整体规划、目标设计、学术引领、制度保障等方面提升课程品质，让</w:t>
            </w:r>
            <w:r>
              <w:rPr>
                <w:rFonts w:hint="eastAsia" w:ascii="宋体" w:hAnsi="宋体" w:eastAsia="宋体" w:cs="宋体"/>
                <w:color w:val="auto"/>
                <w:sz w:val="18"/>
                <w:szCs w:val="18"/>
                <w:lang w:val="en-US" w:eastAsia="zh-CN"/>
              </w:rPr>
              <w:t>研究性学习</w:t>
            </w:r>
            <w:r>
              <w:rPr>
                <w:rFonts w:hint="default" w:ascii="宋体" w:hAnsi="宋体" w:eastAsia="宋体" w:cs="宋体"/>
                <w:color w:val="auto"/>
                <w:sz w:val="18"/>
                <w:szCs w:val="18"/>
                <w:lang w:val="en-US" w:eastAsia="zh-CN"/>
              </w:rPr>
              <w:t>课程的开发和实施从无序低效走向有序高效，充分彰显学校办学特色和优势，有助于学校的教育教学质量提升。</w:t>
            </w:r>
          </w:p>
          <w:p>
            <w:pPr>
              <w:numPr>
                <w:ilvl w:val="0"/>
                <w:numId w:val="0"/>
              </w:numPr>
              <w:ind w:firstLine="360" w:firstLineChars="200"/>
              <w:jc w:val="both"/>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（2）教师层面：新课改使教师在教学内容、教学方法、教学模式上有更多自主权，从被动的课程实施者转变为积极的课程规划师、资源开发者、教学设计者、课堂操作员，有助于发挥</w:t>
            </w:r>
            <w:r>
              <w:rPr>
                <w:rFonts w:hint="eastAsia" w:ascii="宋体" w:hAnsi="宋体" w:eastAsia="宋体" w:cs="宋体"/>
                <w:color w:val="auto"/>
                <w:sz w:val="18"/>
                <w:szCs w:val="18"/>
                <w:lang w:val="en-US" w:eastAsia="zh-CN"/>
              </w:rPr>
              <w:t>施教者</w:t>
            </w:r>
            <w:r>
              <w:rPr>
                <w:rFonts w:hint="default" w:ascii="宋体" w:hAnsi="宋体" w:eastAsia="宋体" w:cs="宋体"/>
                <w:color w:val="auto"/>
                <w:sz w:val="18"/>
                <w:szCs w:val="18"/>
                <w:lang w:val="en-US" w:eastAsia="zh-CN"/>
              </w:rPr>
              <w:t>教师</w:t>
            </w:r>
            <w:r>
              <w:rPr>
                <w:rFonts w:hint="eastAsia" w:ascii="宋体" w:hAnsi="宋体" w:eastAsia="宋体" w:cs="宋体"/>
                <w:color w:val="auto"/>
                <w:sz w:val="18"/>
                <w:szCs w:val="18"/>
                <w:lang w:val="en-US" w:eastAsia="zh-CN"/>
              </w:rPr>
              <w:t>在研究性学习</w:t>
            </w:r>
            <w:r>
              <w:rPr>
                <w:rFonts w:hint="default" w:ascii="宋体" w:hAnsi="宋体" w:eastAsia="宋体" w:cs="宋体"/>
                <w:color w:val="auto"/>
                <w:sz w:val="18"/>
                <w:szCs w:val="18"/>
                <w:lang w:val="en-US" w:eastAsia="zh-CN"/>
              </w:rPr>
              <w:t>的主动性和创造性，从而推动教师的专业成长。</w:t>
            </w:r>
          </w:p>
          <w:p>
            <w:pPr>
              <w:spacing w:line="360" w:lineRule="exact"/>
              <w:ind w:right="-107" w:rightChars="-51" w:firstLine="360" w:firstLineChars="200"/>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（3）学生层面：直指核心素养发展的</w:t>
            </w:r>
            <w:r>
              <w:rPr>
                <w:rFonts w:hint="eastAsia" w:ascii="宋体" w:hAnsi="宋体" w:eastAsia="宋体" w:cs="宋体"/>
                <w:color w:val="auto"/>
                <w:sz w:val="18"/>
                <w:szCs w:val="18"/>
                <w:lang w:val="en-US" w:eastAsia="zh-CN"/>
              </w:rPr>
              <w:t>研究性学习</w:t>
            </w:r>
            <w:r>
              <w:rPr>
                <w:rFonts w:hint="default" w:ascii="宋体" w:hAnsi="宋体" w:eastAsia="宋体" w:cs="宋体"/>
                <w:color w:val="auto"/>
                <w:sz w:val="18"/>
                <w:szCs w:val="18"/>
                <w:lang w:val="en-US" w:eastAsia="zh-CN"/>
              </w:rPr>
              <w:t>课程开发实施有助于激发学生学习兴趣和探究意识，有助于提升思维品质和创新能力，有助于学生的全面发展和个性发展，因材施教，最终实现培养全面发展的人的课程目标。</w:t>
            </w:r>
          </w:p>
          <w:p>
            <w:pPr>
              <w:spacing w:line="360" w:lineRule="exact"/>
              <w:ind w:right="-107" w:rightChars="-51"/>
              <w:rPr>
                <w:rFonts w:hint="default" w:ascii="宋体" w:hAnsi="宋体" w:eastAsia="宋体" w:cs="宋体"/>
                <w:color w:val="auto"/>
                <w:sz w:val="18"/>
                <w:szCs w:val="18"/>
                <w:lang w:val="en-US" w:eastAsia="zh-CN"/>
              </w:rPr>
            </w:pPr>
          </w:p>
          <w:p>
            <w:pPr>
              <w:spacing w:line="360" w:lineRule="exact"/>
              <w:ind w:right="-107" w:rightChars="-51"/>
              <w:rPr>
                <w:rFonts w:hint="eastAsia" w:ascii="宋体" w:hAnsi="宋体" w:eastAsia="宋体" w:cs="宋体"/>
                <w:color w:val="auto"/>
                <w:sz w:val="18"/>
                <w:szCs w:val="18"/>
                <w:lang w:val="en-US" w:eastAsia="zh-CN"/>
              </w:rPr>
            </w:pPr>
          </w:p>
          <w:p>
            <w:pPr>
              <w:spacing w:line="360" w:lineRule="exact"/>
              <w:ind w:right="-107" w:rightChars="-51"/>
              <w:rPr>
                <w:rFonts w:hint="eastAsia" w:ascii="宋体" w:hAnsi="宋体" w:eastAsia="宋体" w:cs="宋体"/>
                <w:color w:val="auto"/>
                <w:sz w:val="18"/>
                <w:szCs w:val="18"/>
                <w:lang w:val="en-US" w:eastAsia="zh-CN"/>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8" w:hRule="atLeast"/>
        </w:trPr>
        <w:tc>
          <w:tcPr>
            <w:tcW w:w="0" w:type="auto"/>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right="-1052" w:rightChars="-501"/>
              <w:rPr>
                <w:rFonts w:hint="eastAsia" w:ascii="宋体" w:hAnsi="宋体"/>
                <w:b/>
                <w:szCs w:val="21"/>
              </w:rPr>
            </w:pPr>
            <w:r>
              <w:rPr>
                <w:rFonts w:hint="eastAsia" w:ascii="华文细黑" w:hAnsi="华文细黑" w:eastAsia="华文细黑"/>
                <w:szCs w:val="21"/>
              </w:rPr>
              <w:t>（三）研究的目标、内容（或子课题设计）与重点</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54" w:hRule="atLeast"/>
        </w:trPr>
        <w:tc>
          <w:tcPr>
            <w:tcW w:w="0" w:type="auto"/>
            <w:gridSpan w:val="4"/>
            <w:tcBorders>
              <w:top w:val="single" w:color="auto" w:sz="4" w:space="0"/>
              <w:left w:val="single" w:color="auto" w:sz="4" w:space="0"/>
              <w:bottom w:val="single" w:color="auto" w:sz="4" w:space="0"/>
              <w:right w:val="single" w:color="auto" w:sz="4" w:space="0"/>
            </w:tcBorders>
            <w:noWrap w:val="0"/>
            <w:vAlign w:val="top"/>
          </w:tcPr>
          <w:p>
            <w:pPr>
              <w:numPr>
                <w:ilvl w:val="0"/>
                <w:numId w:val="0"/>
              </w:numPr>
              <w:ind w:firstLine="360" w:firstLineChars="200"/>
              <w:jc w:val="both"/>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1．研究的目标</w:t>
            </w:r>
          </w:p>
          <w:p>
            <w:pPr>
              <w:numPr>
                <w:ilvl w:val="0"/>
                <w:numId w:val="0"/>
              </w:numPr>
              <w:ind w:firstLine="360" w:firstLineChars="200"/>
              <w:jc w:val="both"/>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（1）基于课程</w:t>
            </w:r>
            <w:r>
              <w:rPr>
                <w:rFonts w:hint="eastAsia" w:ascii="宋体" w:hAnsi="宋体" w:eastAsia="宋体" w:cs="宋体"/>
                <w:color w:val="auto"/>
                <w:sz w:val="18"/>
                <w:szCs w:val="18"/>
                <w:lang w:val="en-US" w:eastAsia="zh-CN"/>
              </w:rPr>
              <w:t>内涵</w:t>
            </w:r>
            <w:r>
              <w:rPr>
                <w:rFonts w:hint="default" w:ascii="宋体" w:hAnsi="宋体" w:eastAsia="宋体" w:cs="宋体"/>
                <w:color w:val="auto"/>
                <w:sz w:val="18"/>
                <w:szCs w:val="18"/>
                <w:lang w:val="en-US" w:eastAsia="zh-CN"/>
              </w:rPr>
              <w:t>的</w:t>
            </w:r>
            <w:r>
              <w:rPr>
                <w:rFonts w:hint="eastAsia" w:ascii="宋体" w:hAnsi="宋体" w:eastAsia="宋体" w:cs="宋体"/>
                <w:color w:val="auto"/>
                <w:sz w:val="18"/>
                <w:szCs w:val="18"/>
                <w:lang w:val="en-US" w:eastAsia="zh-CN"/>
              </w:rPr>
              <w:t>理解</w:t>
            </w:r>
            <w:r>
              <w:rPr>
                <w:rFonts w:hint="default" w:ascii="宋体" w:hAnsi="宋体" w:eastAsia="宋体" w:cs="宋体"/>
                <w:color w:val="auto"/>
                <w:sz w:val="18"/>
                <w:szCs w:val="18"/>
                <w:lang w:val="en-US" w:eastAsia="zh-CN"/>
              </w:rPr>
              <w:t>，</w:t>
            </w:r>
            <w:r>
              <w:rPr>
                <w:rFonts w:hint="eastAsia" w:ascii="宋体" w:hAnsi="宋体" w:eastAsia="宋体" w:cs="宋体"/>
                <w:color w:val="auto"/>
                <w:sz w:val="18"/>
                <w:szCs w:val="18"/>
                <w:lang w:val="en-US" w:eastAsia="zh-CN"/>
              </w:rPr>
              <w:t>制定</w:t>
            </w:r>
            <w:r>
              <w:rPr>
                <w:rFonts w:hint="default" w:ascii="宋体" w:hAnsi="宋体" w:eastAsia="宋体" w:cs="宋体"/>
                <w:color w:val="auto"/>
                <w:sz w:val="18"/>
                <w:szCs w:val="18"/>
                <w:lang w:val="en-US" w:eastAsia="zh-CN"/>
              </w:rPr>
              <w:t>核心素养如何在高中</w:t>
            </w:r>
            <w:r>
              <w:rPr>
                <w:rFonts w:hint="eastAsia" w:ascii="宋体" w:hAnsi="宋体" w:eastAsia="宋体" w:cs="宋体"/>
                <w:color w:val="auto"/>
                <w:sz w:val="18"/>
                <w:szCs w:val="18"/>
                <w:lang w:val="en-US" w:eastAsia="zh-CN"/>
              </w:rPr>
              <w:t>研究性学习</w:t>
            </w:r>
            <w:r>
              <w:rPr>
                <w:rFonts w:hint="default" w:ascii="宋体" w:hAnsi="宋体" w:eastAsia="宋体" w:cs="宋体"/>
                <w:color w:val="auto"/>
                <w:sz w:val="18"/>
                <w:szCs w:val="18"/>
                <w:lang w:val="en-US" w:eastAsia="zh-CN"/>
              </w:rPr>
              <w:t>课程中</w:t>
            </w:r>
            <w:r>
              <w:rPr>
                <w:rFonts w:hint="eastAsia" w:ascii="宋体" w:hAnsi="宋体" w:eastAsia="宋体" w:cs="宋体"/>
                <w:color w:val="auto"/>
                <w:sz w:val="18"/>
                <w:szCs w:val="18"/>
                <w:lang w:val="en-US" w:eastAsia="zh-CN"/>
              </w:rPr>
              <w:t>要素</w:t>
            </w:r>
            <w:r>
              <w:rPr>
                <w:rFonts w:hint="default" w:ascii="宋体" w:hAnsi="宋体" w:eastAsia="宋体" w:cs="宋体"/>
                <w:color w:val="auto"/>
                <w:sz w:val="18"/>
                <w:szCs w:val="18"/>
                <w:lang w:val="en-US" w:eastAsia="zh-CN"/>
              </w:rPr>
              <w:t>的问题。</w:t>
            </w:r>
          </w:p>
          <w:p>
            <w:pPr>
              <w:numPr>
                <w:ilvl w:val="0"/>
                <w:numId w:val="0"/>
              </w:numPr>
              <w:ind w:firstLine="360" w:firstLineChars="200"/>
              <w:jc w:val="both"/>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（2）基于</w:t>
            </w:r>
            <w:r>
              <w:rPr>
                <w:rFonts w:hint="eastAsia" w:ascii="宋体" w:hAnsi="宋体" w:eastAsia="宋体" w:cs="宋体"/>
                <w:color w:val="auto"/>
                <w:sz w:val="18"/>
                <w:szCs w:val="18"/>
                <w:lang w:val="en-US" w:eastAsia="zh-CN"/>
              </w:rPr>
              <w:t>课程实施</w:t>
            </w:r>
            <w:r>
              <w:rPr>
                <w:rFonts w:hint="default" w:ascii="宋体" w:hAnsi="宋体" w:eastAsia="宋体" w:cs="宋体"/>
                <w:color w:val="auto"/>
                <w:sz w:val="18"/>
                <w:szCs w:val="18"/>
                <w:lang w:val="en-US" w:eastAsia="zh-CN"/>
              </w:rPr>
              <w:t>的实践，</w:t>
            </w:r>
            <w:r>
              <w:rPr>
                <w:rFonts w:hint="eastAsia" w:ascii="宋体" w:hAnsi="宋体" w:eastAsia="宋体" w:cs="宋体"/>
                <w:color w:val="auto"/>
                <w:sz w:val="18"/>
                <w:szCs w:val="18"/>
                <w:lang w:val="en-US" w:eastAsia="zh-CN"/>
              </w:rPr>
              <w:t>落实</w:t>
            </w:r>
            <w:r>
              <w:rPr>
                <w:rFonts w:hint="default" w:ascii="宋体" w:hAnsi="宋体" w:eastAsia="宋体" w:cs="宋体"/>
                <w:color w:val="auto"/>
                <w:sz w:val="18"/>
                <w:szCs w:val="18"/>
                <w:lang w:val="en-US" w:eastAsia="zh-CN"/>
              </w:rPr>
              <w:t>核心素养如何在高中</w:t>
            </w:r>
            <w:r>
              <w:rPr>
                <w:rFonts w:hint="eastAsia" w:ascii="宋体" w:hAnsi="宋体" w:eastAsia="宋体" w:cs="宋体"/>
                <w:color w:val="auto"/>
                <w:sz w:val="18"/>
                <w:szCs w:val="18"/>
                <w:lang w:val="en-US" w:eastAsia="zh-CN"/>
              </w:rPr>
              <w:t>研究性学习</w:t>
            </w:r>
            <w:r>
              <w:rPr>
                <w:rFonts w:hint="default" w:ascii="宋体" w:hAnsi="宋体" w:eastAsia="宋体" w:cs="宋体"/>
                <w:color w:val="auto"/>
                <w:sz w:val="18"/>
                <w:szCs w:val="18"/>
                <w:lang w:val="en-US" w:eastAsia="zh-CN"/>
              </w:rPr>
              <w:t>课程中</w:t>
            </w:r>
            <w:r>
              <w:rPr>
                <w:rFonts w:hint="eastAsia" w:ascii="宋体" w:hAnsi="宋体" w:eastAsia="宋体" w:cs="宋体"/>
                <w:color w:val="auto"/>
                <w:sz w:val="18"/>
                <w:szCs w:val="18"/>
                <w:lang w:val="en-US" w:eastAsia="zh-CN"/>
              </w:rPr>
              <w:t>调查的</w:t>
            </w:r>
            <w:r>
              <w:rPr>
                <w:rFonts w:hint="default" w:ascii="宋体" w:hAnsi="宋体" w:eastAsia="宋体" w:cs="宋体"/>
                <w:color w:val="auto"/>
                <w:sz w:val="18"/>
                <w:szCs w:val="18"/>
                <w:lang w:val="en-US" w:eastAsia="zh-CN"/>
              </w:rPr>
              <w:t>问题。</w:t>
            </w:r>
          </w:p>
          <w:p>
            <w:pPr>
              <w:numPr>
                <w:ilvl w:val="0"/>
                <w:numId w:val="0"/>
              </w:numPr>
              <w:ind w:firstLine="360" w:firstLineChars="200"/>
              <w:jc w:val="both"/>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（3）基于</w:t>
            </w:r>
            <w:r>
              <w:rPr>
                <w:rFonts w:hint="eastAsia" w:ascii="宋体" w:hAnsi="宋体" w:eastAsia="宋体" w:cs="宋体"/>
                <w:color w:val="auto"/>
                <w:sz w:val="18"/>
                <w:szCs w:val="18"/>
                <w:lang w:val="en-US" w:eastAsia="zh-CN"/>
              </w:rPr>
              <w:t>问题建议</w:t>
            </w:r>
            <w:r>
              <w:rPr>
                <w:rFonts w:hint="default" w:ascii="宋体" w:hAnsi="宋体" w:eastAsia="宋体" w:cs="宋体"/>
                <w:color w:val="auto"/>
                <w:sz w:val="18"/>
                <w:szCs w:val="18"/>
                <w:lang w:val="en-US" w:eastAsia="zh-CN"/>
              </w:rPr>
              <w:t>的</w:t>
            </w:r>
            <w:r>
              <w:rPr>
                <w:rFonts w:hint="eastAsia" w:ascii="宋体" w:hAnsi="宋体" w:eastAsia="宋体" w:cs="宋体"/>
                <w:color w:val="auto"/>
                <w:sz w:val="18"/>
                <w:szCs w:val="18"/>
                <w:lang w:val="en-US" w:eastAsia="zh-CN"/>
              </w:rPr>
              <w:t>统整</w:t>
            </w:r>
            <w:r>
              <w:rPr>
                <w:rFonts w:hint="default" w:ascii="宋体" w:hAnsi="宋体" w:eastAsia="宋体" w:cs="宋体"/>
                <w:color w:val="auto"/>
                <w:sz w:val="18"/>
                <w:szCs w:val="18"/>
                <w:lang w:val="en-US" w:eastAsia="zh-CN"/>
              </w:rPr>
              <w:t>，解决核心素养如何在高中历史校本课程中</w:t>
            </w:r>
            <w:r>
              <w:rPr>
                <w:rFonts w:hint="eastAsia" w:ascii="宋体" w:hAnsi="宋体" w:eastAsia="宋体" w:cs="宋体"/>
                <w:color w:val="auto"/>
                <w:sz w:val="18"/>
                <w:szCs w:val="18"/>
                <w:lang w:val="en-US" w:eastAsia="zh-CN"/>
              </w:rPr>
              <w:t>改进保障</w:t>
            </w:r>
            <w:r>
              <w:rPr>
                <w:rFonts w:hint="default" w:ascii="宋体" w:hAnsi="宋体" w:eastAsia="宋体" w:cs="宋体"/>
                <w:color w:val="auto"/>
                <w:sz w:val="18"/>
                <w:szCs w:val="18"/>
                <w:lang w:val="en-US" w:eastAsia="zh-CN"/>
              </w:rPr>
              <w:t>问题。</w:t>
            </w:r>
          </w:p>
          <w:p>
            <w:pPr>
              <w:numPr>
                <w:ilvl w:val="0"/>
                <w:numId w:val="0"/>
              </w:numPr>
              <w:ind w:firstLine="360" w:firstLineChars="200"/>
              <w:jc w:val="both"/>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2．研究的主要内容</w:t>
            </w:r>
          </w:p>
          <w:p>
            <w:pPr>
              <w:numPr>
                <w:ilvl w:val="0"/>
                <w:numId w:val="0"/>
              </w:numPr>
              <w:ind w:firstLine="360" w:firstLineChars="200"/>
              <w:jc w:val="both"/>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（1）指向</w:t>
            </w:r>
            <w:r>
              <w:rPr>
                <w:rFonts w:hint="eastAsia" w:ascii="宋体" w:hAnsi="宋体" w:eastAsia="宋体" w:cs="宋体"/>
                <w:color w:val="auto"/>
                <w:sz w:val="18"/>
                <w:szCs w:val="18"/>
                <w:lang w:val="en-US" w:eastAsia="zh-CN"/>
              </w:rPr>
              <w:t>调查研究</w:t>
            </w:r>
            <w:r>
              <w:rPr>
                <w:rFonts w:hint="default" w:ascii="宋体" w:hAnsi="宋体" w:eastAsia="宋体" w:cs="宋体"/>
                <w:color w:val="auto"/>
                <w:sz w:val="18"/>
                <w:szCs w:val="18"/>
                <w:lang w:val="en-US" w:eastAsia="zh-CN"/>
              </w:rPr>
              <w:t>的高中</w:t>
            </w:r>
            <w:r>
              <w:rPr>
                <w:rFonts w:hint="eastAsia" w:ascii="宋体" w:hAnsi="宋体" w:eastAsia="宋体" w:cs="宋体"/>
                <w:color w:val="auto"/>
                <w:sz w:val="18"/>
                <w:szCs w:val="18"/>
                <w:lang w:val="en-US" w:eastAsia="zh-CN"/>
              </w:rPr>
              <w:t>研究性学习</w:t>
            </w:r>
            <w:r>
              <w:rPr>
                <w:rFonts w:hint="default" w:ascii="宋体" w:hAnsi="宋体" w:eastAsia="宋体" w:cs="宋体"/>
                <w:color w:val="auto"/>
                <w:sz w:val="18"/>
                <w:szCs w:val="18"/>
                <w:lang w:val="en-US" w:eastAsia="zh-CN"/>
              </w:rPr>
              <w:t>课程的</w:t>
            </w:r>
            <w:r>
              <w:rPr>
                <w:rFonts w:hint="eastAsia" w:ascii="宋体" w:hAnsi="宋体" w:eastAsia="宋体" w:cs="宋体"/>
                <w:color w:val="auto"/>
                <w:sz w:val="18"/>
                <w:szCs w:val="18"/>
                <w:lang w:val="en-US" w:eastAsia="zh-CN"/>
              </w:rPr>
              <w:t>实施</w:t>
            </w:r>
            <w:r>
              <w:rPr>
                <w:rFonts w:hint="default" w:ascii="宋体" w:hAnsi="宋体" w:eastAsia="宋体" w:cs="宋体"/>
                <w:color w:val="auto"/>
                <w:sz w:val="18"/>
                <w:szCs w:val="18"/>
                <w:lang w:val="en-US" w:eastAsia="zh-CN"/>
              </w:rPr>
              <w:t>途径</w:t>
            </w:r>
            <w:r>
              <w:rPr>
                <w:rFonts w:hint="eastAsia" w:ascii="宋体" w:hAnsi="宋体" w:eastAsia="宋体" w:cs="宋体"/>
                <w:color w:val="auto"/>
                <w:sz w:val="18"/>
                <w:szCs w:val="18"/>
                <w:lang w:val="en-US" w:eastAsia="zh-CN"/>
              </w:rPr>
              <w:t>与</w:t>
            </w:r>
            <w:r>
              <w:rPr>
                <w:rFonts w:hint="default" w:ascii="宋体" w:hAnsi="宋体" w:eastAsia="宋体" w:cs="宋体"/>
                <w:color w:val="auto"/>
                <w:sz w:val="18"/>
                <w:szCs w:val="18"/>
                <w:lang w:val="en-US" w:eastAsia="zh-CN"/>
              </w:rPr>
              <w:t>策略研究</w:t>
            </w:r>
          </w:p>
          <w:p>
            <w:pPr>
              <w:numPr>
                <w:ilvl w:val="0"/>
                <w:numId w:val="0"/>
              </w:numPr>
              <w:ind w:firstLine="360" w:firstLineChars="200"/>
              <w:jc w:val="both"/>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（2）指向</w:t>
            </w:r>
            <w:r>
              <w:rPr>
                <w:rFonts w:hint="eastAsia" w:ascii="宋体" w:hAnsi="宋体" w:eastAsia="宋体" w:cs="宋体"/>
                <w:color w:val="auto"/>
                <w:sz w:val="18"/>
                <w:szCs w:val="18"/>
                <w:lang w:val="en-US" w:eastAsia="zh-CN"/>
              </w:rPr>
              <w:t>调查研究</w:t>
            </w:r>
            <w:r>
              <w:rPr>
                <w:rFonts w:hint="default" w:ascii="宋体" w:hAnsi="宋体" w:eastAsia="宋体" w:cs="宋体"/>
                <w:color w:val="auto"/>
                <w:sz w:val="18"/>
                <w:szCs w:val="18"/>
                <w:lang w:val="en-US" w:eastAsia="zh-CN"/>
              </w:rPr>
              <w:t>的高中</w:t>
            </w:r>
            <w:r>
              <w:rPr>
                <w:rFonts w:hint="eastAsia" w:ascii="宋体" w:hAnsi="宋体" w:eastAsia="宋体" w:cs="宋体"/>
                <w:color w:val="auto"/>
                <w:sz w:val="18"/>
                <w:szCs w:val="18"/>
                <w:lang w:val="en-US" w:eastAsia="zh-CN"/>
              </w:rPr>
              <w:t>研究性学习</w:t>
            </w:r>
            <w:r>
              <w:rPr>
                <w:rFonts w:hint="default" w:ascii="宋体" w:hAnsi="宋体" w:eastAsia="宋体" w:cs="宋体"/>
                <w:color w:val="auto"/>
                <w:sz w:val="18"/>
                <w:szCs w:val="18"/>
                <w:lang w:val="en-US" w:eastAsia="zh-CN"/>
              </w:rPr>
              <w:t>课程的</w:t>
            </w:r>
            <w:r>
              <w:rPr>
                <w:rFonts w:hint="eastAsia" w:ascii="宋体" w:hAnsi="宋体" w:eastAsia="宋体" w:cs="宋体"/>
                <w:color w:val="auto"/>
                <w:sz w:val="18"/>
                <w:szCs w:val="18"/>
                <w:lang w:val="en-US" w:eastAsia="zh-CN"/>
              </w:rPr>
              <w:t>调查设计与调查反馈</w:t>
            </w:r>
          </w:p>
          <w:p>
            <w:pPr>
              <w:numPr>
                <w:ilvl w:val="0"/>
                <w:numId w:val="0"/>
              </w:numPr>
              <w:ind w:firstLine="360" w:firstLineChars="200"/>
              <w:jc w:val="both"/>
              <w:rPr>
                <w:rFonts w:hint="eastAsia" w:ascii="宋体" w:hAnsi="宋体"/>
                <w:b/>
                <w:szCs w:val="21"/>
              </w:rPr>
            </w:pPr>
            <w:r>
              <w:rPr>
                <w:rFonts w:hint="default" w:ascii="宋体" w:hAnsi="宋体" w:eastAsia="宋体" w:cs="宋体"/>
                <w:color w:val="auto"/>
                <w:sz w:val="18"/>
                <w:szCs w:val="18"/>
                <w:lang w:val="en-US" w:eastAsia="zh-CN"/>
              </w:rPr>
              <w:t>（3）指向</w:t>
            </w:r>
            <w:r>
              <w:rPr>
                <w:rFonts w:hint="eastAsia" w:ascii="宋体" w:hAnsi="宋体" w:eastAsia="宋体" w:cs="宋体"/>
                <w:color w:val="auto"/>
                <w:sz w:val="18"/>
                <w:szCs w:val="18"/>
                <w:lang w:val="en-US" w:eastAsia="zh-CN"/>
              </w:rPr>
              <w:t>调查研究</w:t>
            </w:r>
            <w:r>
              <w:rPr>
                <w:rFonts w:hint="default" w:ascii="宋体" w:hAnsi="宋体" w:eastAsia="宋体" w:cs="宋体"/>
                <w:color w:val="auto"/>
                <w:sz w:val="18"/>
                <w:szCs w:val="18"/>
                <w:lang w:val="en-US" w:eastAsia="zh-CN"/>
              </w:rPr>
              <w:t>的</w:t>
            </w:r>
            <w:r>
              <w:rPr>
                <w:rFonts w:hint="eastAsia" w:ascii="宋体" w:hAnsi="宋体" w:eastAsia="宋体" w:cs="宋体"/>
                <w:color w:val="auto"/>
                <w:sz w:val="18"/>
                <w:szCs w:val="18"/>
                <w:lang w:val="en-US" w:eastAsia="zh-CN"/>
              </w:rPr>
              <w:t>高中研究性学习</w:t>
            </w:r>
            <w:r>
              <w:rPr>
                <w:rFonts w:hint="default" w:ascii="宋体" w:hAnsi="宋体" w:eastAsia="宋体" w:cs="宋体"/>
                <w:color w:val="auto"/>
                <w:sz w:val="18"/>
                <w:szCs w:val="18"/>
                <w:lang w:val="en-US" w:eastAsia="zh-CN"/>
              </w:rPr>
              <w:t>课程的</w:t>
            </w:r>
            <w:r>
              <w:rPr>
                <w:rFonts w:hint="eastAsia" w:ascii="宋体" w:hAnsi="宋体" w:eastAsia="宋体" w:cs="宋体"/>
                <w:color w:val="auto"/>
                <w:sz w:val="18"/>
                <w:szCs w:val="18"/>
                <w:lang w:val="en-US" w:eastAsia="zh-CN"/>
              </w:rPr>
              <w:t>成果阐述与问题对策</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6" w:hRule="atLeast"/>
        </w:trPr>
        <w:tc>
          <w:tcPr>
            <w:tcW w:w="0" w:type="auto"/>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right="-1052" w:rightChars="-501"/>
              <w:rPr>
                <w:rFonts w:hint="eastAsia" w:ascii="华文细黑" w:hAnsi="华文细黑" w:eastAsia="华文细黑"/>
                <w:szCs w:val="21"/>
              </w:rPr>
            </w:pPr>
            <w:r>
              <w:rPr>
                <w:rFonts w:hint="eastAsia" w:ascii="华文细黑" w:hAnsi="华文细黑" w:eastAsia="华文细黑"/>
                <w:szCs w:val="21"/>
              </w:rPr>
              <w:t>（四）研究的思路、过程与方法</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593" w:hRule="atLeast"/>
        </w:trPr>
        <w:tc>
          <w:tcPr>
            <w:tcW w:w="0" w:type="auto"/>
            <w:gridSpan w:val="4"/>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宋体" w:hAnsi="宋体"/>
                <w:color w:val="auto"/>
                <w:szCs w:val="21"/>
              </w:rPr>
            </w:pPr>
            <w:r>
              <w:rPr>
                <w:rFonts w:hint="eastAsia" w:ascii="宋体" w:hAnsi="宋体"/>
                <w:color w:val="auto"/>
                <w:szCs w:val="21"/>
              </w:rPr>
              <w:t xml:space="preserve"> </w:t>
            </w:r>
            <w:r>
              <w:rPr>
                <w:rFonts w:hint="eastAsia" w:ascii="宋体" w:hAnsi="宋体"/>
                <w:b/>
                <w:color w:val="auto"/>
                <w:szCs w:val="21"/>
              </w:rPr>
              <w:t>1．本课题的研究思路</w:t>
            </w:r>
          </w:p>
          <w:p>
            <w:pPr>
              <w:numPr>
                <w:ilvl w:val="0"/>
                <w:numId w:val="0"/>
              </w:numPr>
              <w:ind w:firstLine="360" w:firstLineChars="20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本课题研究拟按以下思路进行研究: 具有代表性学校的问卷调查研究性学习实施情况——归纳分析之所以如此实施研究性学习的原因——研究性学习实施效果反馈——对问题发现进行归因分析——展开网上互动讨论反思，深入分析研究性学习课程结构，优化整合课程教学资源，草拟将校本课程与学校环境、办学理念、育人目标、文化特点等有机结合的可行性建议或方案。</w:t>
            </w:r>
          </w:p>
          <w:p>
            <w:pPr>
              <w:numPr>
                <w:ilvl w:val="0"/>
                <w:numId w:val="0"/>
              </w:numPr>
              <w:ind w:firstLine="360" w:firstLineChars="20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2．本课题的研究过程</w:t>
            </w:r>
          </w:p>
          <w:p>
            <w:pPr>
              <w:numPr>
                <w:ilvl w:val="0"/>
                <w:numId w:val="0"/>
              </w:numPr>
              <w:ind w:firstLine="360" w:firstLineChars="20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第一阶段准备（2021.10—2022.1）：进行课题方案的提出、分析与沟通；组织课题相关调查实施和论证；开展课题的申报工作和文献研读；就研究性学习课程开发实施的内涵、意义、途径和保障进行课题组研讨。</w:t>
            </w:r>
          </w:p>
          <w:p>
            <w:pPr>
              <w:numPr>
                <w:ilvl w:val="0"/>
                <w:numId w:val="0"/>
              </w:numPr>
              <w:ind w:firstLine="360" w:firstLineChars="200"/>
              <w:jc w:val="both"/>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第二阶段实施（2022.2—2022.5）：进行科学性调查设计和调查实施。选取领导、教师、学生、家长四个样本群体作为主要调查对象，结合研究性学习课程建设实际和学生个性发展需求，针对领导、教师、学生、家长的不同特点以及在本研究中的价值设计了相应的访谈选项，并落实调查问卷的发放、回收和统计。</w:t>
            </w:r>
          </w:p>
          <w:p>
            <w:pPr>
              <w:numPr>
                <w:ilvl w:val="0"/>
                <w:numId w:val="0"/>
              </w:numPr>
              <w:ind w:firstLine="360" w:firstLineChars="20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第三阶段总结（2022.6—2022.10）：分析、撰写调查课题研究结题报告，总结成功经验，统整发现教育中存在的多元问题；完成课题调查报告，努力在高中校本研究性学习课程的开发与实施中发展学生核心素养。</w:t>
            </w:r>
          </w:p>
          <w:p>
            <w:pPr>
              <w:numPr>
                <w:ilvl w:val="0"/>
                <w:numId w:val="0"/>
              </w:numPr>
              <w:ind w:firstLine="360" w:firstLineChars="20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3．本课题的研究方法</w:t>
            </w:r>
          </w:p>
          <w:p>
            <w:pPr>
              <w:numPr>
                <w:ilvl w:val="0"/>
                <w:numId w:val="0"/>
              </w:numPr>
              <w:ind w:firstLine="360" w:firstLineChars="20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（1）文献法  通过系统化、专业化地查阅相关资料，理解研究性学习的内涵、目标和价值，学习国内外相关调查研究的理论，掌握最新研究现状。</w:t>
            </w:r>
          </w:p>
          <w:p>
            <w:pPr>
              <w:numPr>
                <w:ilvl w:val="0"/>
                <w:numId w:val="0"/>
              </w:numPr>
              <w:ind w:firstLine="360" w:firstLineChars="20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（2）调查法  （1）编制调查采访内容。编制不同调查对象的问卷访谈提纲，合理分工开展问卷调查和访谈，详实记载问卷的发放情况、回收情况，借助大数据汇总数据、发现研究相关教育问题及研究现状；（2）选择调查采访对象。通过对区域性普通高中部分学校领导、综合实践活动课程教师、教务教辅人员、学生、学生家长及社区人士进行初步调查,调查区域性普通高中研究性学习实施的大致情况及其实施外部环境；通过有针对性地对教师、学生、家长进行问卷调查以准确全面地掌握他们对研究性学习的认识、态度、看法、意见、建议等；通过有选择性地对部分学校分管领导、教师、教务教辅人员、学生、学生家长及社区人士进行深入访谈,发现学校研究性学习实施的效果与不足,以及取得效果或存在不足的问题、原因。</w:t>
            </w:r>
          </w:p>
          <w:p>
            <w:pPr>
              <w:spacing w:line="360" w:lineRule="exact"/>
              <w:ind w:right="-107" w:rightChars="-51"/>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（3）比较法 选取参与过研究性学习的领导、教师、学生、家长四个不同调查对象群体进行设计与比较；对区域高中研究性学习实施情况的调查结果与其它地区高中,认识研究性学习在不同地区实施的情况和所产生的不同效应,以及不同采访群体与对研究性学习的认识、态度、满意、看法等相关选项。</w:t>
            </w:r>
          </w:p>
          <w:p>
            <w:pPr>
              <w:spacing w:line="360" w:lineRule="exact"/>
              <w:ind w:right="-107" w:rightChars="-51"/>
              <w:rPr>
                <w:rFonts w:hint="eastAsia" w:ascii="宋体" w:hAnsi="宋体" w:eastAsia="宋体" w:cs="宋体"/>
                <w:color w:val="auto"/>
                <w:sz w:val="18"/>
                <w:szCs w:val="18"/>
                <w:lang w:val="en-US" w:eastAsia="zh-CN"/>
              </w:rPr>
            </w:pPr>
          </w:p>
          <w:p>
            <w:pPr>
              <w:spacing w:line="360" w:lineRule="exact"/>
              <w:ind w:right="-107" w:rightChars="-51"/>
              <w:rPr>
                <w:rFonts w:hint="eastAsia" w:ascii="宋体" w:hAnsi="宋体" w:eastAsia="宋体" w:cs="宋体"/>
                <w:color w:val="auto"/>
                <w:sz w:val="18"/>
                <w:szCs w:val="18"/>
                <w:lang w:val="en-US" w:eastAsia="zh-CN"/>
              </w:rPr>
            </w:pPr>
          </w:p>
          <w:p>
            <w:pPr>
              <w:spacing w:line="360" w:lineRule="exact"/>
              <w:ind w:right="-107" w:rightChars="-51"/>
              <w:rPr>
                <w:rFonts w:hint="eastAsia" w:ascii="宋体" w:hAnsi="宋体" w:eastAsia="宋体" w:cs="宋体"/>
                <w:color w:val="auto"/>
                <w:sz w:val="18"/>
                <w:szCs w:val="18"/>
                <w:lang w:val="en-US" w:eastAsia="zh-CN"/>
              </w:rPr>
            </w:pPr>
          </w:p>
          <w:p>
            <w:pPr>
              <w:spacing w:line="360" w:lineRule="exact"/>
              <w:ind w:right="-107" w:rightChars="-51"/>
              <w:rPr>
                <w:rFonts w:hint="eastAsia" w:ascii="宋体" w:hAnsi="宋体" w:eastAsia="宋体" w:cs="宋体"/>
                <w:color w:val="auto"/>
                <w:sz w:val="18"/>
                <w:szCs w:val="18"/>
                <w:lang w:val="en-US" w:eastAsia="zh-CN"/>
              </w:rPr>
            </w:pPr>
          </w:p>
          <w:p>
            <w:pPr>
              <w:spacing w:line="360" w:lineRule="exact"/>
              <w:ind w:right="-107" w:rightChars="-51"/>
              <w:rPr>
                <w:rFonts w:hint="eastAsia" w:ascii="宋体" w:hAnsi="宋体" w:eastAsia="宋体" w:cs="宋体"/>
                <w:color w:val="auto"/>
                <w:sz w:val="18"/>
                <w:szCs w:val="18"/>
                <w:lang w:val="en-US" w:eastAsia="zh-CN"/>
              </w:rPr>
            </w:pPr>
          </w:p>
          <w:p>
            <w:pPr>
              <w:spacing w:line="360" w:lineRule="exact"/>
              <w:ind w:right="-107" w:rightChars="-51"/>
              <w:rPr>
                <w:rFonts w:hint="eastAsia" w:ascii="宋体" w:hAnsi="宋体" w:eastAsia="宋体" w:cs="宋体"/>
                <w:color w:val="auto"/>
                <w:sz w:val="18"/>
                <w:szCs w:val="18"/>
                <w:lang w:val="en-US" w:eastAsia="zh-CN"/>
              </w:rPr>
            </w:pPr>
          </w:p>
          <w:p>
            <w:pPr>
              <w:spacing w:line="360" w:lineRule="exact"/>
              <w:ind w:right="-107" w:rightChars="-51"/>
              <w:rPr>
                <w:rFonts w:hint="eastAsia" w:ascii="宋体" w:hAnsi="宋体" w:eastAsia="宋体" w:cs="宋体"/>
                <w:color w:val="auto"/>
                <w:sz w:val="18"/>
                <w:szCs w:val="18"/>
                <w:lang w:val="en-US" w:eastAsia="zh-CN"/>
              </w:rPr>
            </w:pPr>
          </w:p>
          <w:p>
            <w:pPr>
              <w:spacing w:line="360" w:lineRule="exact"/>
              <w:ind w:right="-107" w:rightChars="-51"/>
              <w:rPr>
                <w:rFonts w:hint="eastAsia" w:ascii="宋体" w:hAnsi="宋体" w:eastAsia="宋体" w:cs="宋体"/>
                <w:color w:val="auto"/>
                <w:sz w:val="18"/>
                <w:szCs w:val="18"/>
                <w:lang w:val="en-US" w:eastAsia="zh-CN"/>
              </w:rPr>
            </w:pPr>
          </w:p>
          <w:p>
            <w:pPr>
              <w:spacing w:line="360" w:lineRule="exact"/>
              <w:ind w:right="-107" w:rightChars="-51"/>
              <w:rPr>
                <w:rFonts w:hint="eastAsia" w:ascii="宋体" w:hAnsi="宋体" w:eastAsia="宋体" w:cs="宋体"/>
                <w:color w:val="auto"/>
                <w:sz w:val="18"/>
                <w:szCs w:val="18"/>
                <w:lang w:val="en-US" w:eastAsia="zh-CN"/>
              </w:rPr>
            </w:pPr>
          </w:p>
          <w:p>
            <w:pPr>
              <w:spacing w:line="360" w:lineRule="exact"/>
              <w:ind w:right="-107" w:rightChars="-51"/>
              <w:rPr>
                <w:rFonts w:hint="eastAsia" w:ascii="宋体" w:hAnsi="宋体" w:eastAsia="宋体" w:cs="宋体"/>
                <w:color w:val="auto"/>
                <w:sz w:val="18"/>
                <w:szCs w:val="18"/>
                <w:lang w:val="en-US" w:eastAsia="zh-CN"/>
              </w:rPr>
            </w:pPr>
          </w:p>
          <w:p>
            <w:pPr>
              <w:spacing w:line="360" w:lineRule="exact"/>
              <w:ind w:right="-107" w:rightChars="-51"/>
              <w:rPr>
                <w:rFonts w:hint="eastAsia" w:ascii="宋体" w:hAnsi="宋体" w:eastAsia="宋体" w:cs="宋体"/>
                <w:color w:val="auto"/>
                <w:sz w:val="18"/>
                <w:szCs w:val="18"/>
                <w:lang w:val="en-US" w:eastAsia="zh-CN"/>
              </w:rPr>
            </w:pPr>
          </w:p>
          <w:p>
            <w:pPr>
              <w:spacing w:line="360" w:lineRule="exact"/>
              <w:ind w:right="-107" w:rightChars="-51"/>
              <w:rPr>
                <w:rFonts w:hint="eastAsia" w:ascii="宋体" w:hAnsi="宋体" w:eastAsia="宋体" w:cs="宋体"/>
                <w:color w:val="auto"/>
                <w:sz w:val="18"/>
                <w:szCs w:val="18"/>
                <w:lang w:val="en-US" w:eastAsia="zh-CN"/>
              </w:rPr>
            </w:pPr>
          </w:p>
          <w:p>
            <w:pPr>
              <w:spacing w:line="360" w:lineRule="exact"/>
              <w:ind w:right="-107" w:rightChars="-51"/>
              <w:rPr>
                <w:rFonts w:hint="eastAsia" w:ascii="宋体" w:hAnsi="宋体" w:eastAsia="宋体" w:cs="宋体"/>
                <w:color w:val="auto"/>
                <w:sz w:val="18"/>
                <w:szCs w:val="18"/>
                <w:lang w:val="en-US" w:eastAsia="zh-CN"/>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8" w:hRule="atLeast"/>
        </w:trPr>
        <w:tc>
          <w:tcPr>
            <w:tcW w:w="0" w:type="auto"/>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宋体" w:hAnsi="宋体"/>
                <w:b/>
                <w:szCs w:val="21"/>
              </w:rPr>
            </w:pPr>
            <w:r>
              <w:rPr>
                <w:rFonts w:hint="eastAsia" w:ascii="华文细黑" w:hAnsi="华文细黑" w:eastAsia="华文细黑"/>
                <w:szCs w:val="21"/>
              </w:rPr>
              <w:t>（五）主要观点与可能的创新之处</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088" w:hRule="atLeast"/>
        </w:trPr>
        <w:tc>
          <w:tcPr>
            <w:tcW w:w="0" w:type="auto"/>
            <w:gridSpan w:val="4"/>
            <w:tcBorders>
              <w:top w:val="single" w:color="auto" w:sz="4" w:space="0"/>
              <w:left w:val="single" w:color="auto" w:sz="4" w:space="0"/>
              <w:bottom w:val="single" w:color="auto" w:sz="4" w:space="0"/>
              <w:right w:val="single" w:color="auto" w:sz="4" w:space="0"/>
            </w:tcBorders>
            <w:noWrap w:val="0"/>
            <w:vAlign w:val="top"/>
          </w:tcPr>
          <w:p>
            <w:pPr>
              <w:numPr>
                <w:ilvl w:val="0"/>
                <w:numId w:val="0"/>
              </w:numPr>
              <w:jc w:val="both"/>
              <w:rPr>
                <w:rFonts w:hint="eastAsia" w:ascii="宋体" w:hAnsi="宋体" w:eastAsia="宋体" w:cs="宋体"/>
                <w:color w:val="auto"/>
                <w:sz w:val="18"/>
                <w:szCs w:val="18"/>
                <w:lang w:val="en-US" w:eastAsia="zh-CN"/>
              </w:rPr>
            </w:pPr>
            <w:r>
              <w:rPr>
                <w:rFonts w:hint="eastAsia" w:ascii="华文细黑" w:hAnsi="华文细黑" w:eastAsia="华文细黑"/>
                <w:color w:val="auto"/>
                <w:szCs w:val="21"/>
              </w:rPr>
              <w:t xml:space="preserve"> </w:t>
            </w:r>
            <w:r>
              <w:rPr>
                <w:rFonts w:hint="eastAsia" w:ascii="宋体" w:hAnsi="宋体" w:eastAsia="宋体" w:cs="宋体"/>
                <w:color w:val="auto"/>
                <w:sz w:val="18"/>
                <w:szCs w:val="18"/>
                <w:lang w:val="en-US" w:eastAsia="zh-CN"/>
              </w:rPr>
              <w:t>1．主要观点 （1）依托研究性学习课程发展学生核心素养的逻辑依据：课程改革正从“知识本位”时代走向“核心素养”时代，核心素养为研究性学习课程的开发实施提供了强有力的支持，原先单纯依托学科知识逻辑来设计校本课程和组织教学活动，容易造成内容泛化和效果虚化，而将核心素养作为研究性学习课程开发和实施的依据，以培养学生适应个人终生发展和社会发展所需要的必备品格与关键能力为目标，有助于凸显研究性学习的教育功能，实现立德树人的根本任务。</w:t>
            </w:r>
          </w:p>
          <w:p>
            <w:pPr>
              <w:numPr>
                <w:ilvl w:val="0"/>
                <w:numId w:val="0"/>
              </w:numPr>
              <w:ind w:firstLine="360" w:firstLineChars="20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指向核心素养的高中研究性学习课程开发路径：校本化课程开发路径有两种，一是基于国家课程的校本化改造，从教学设计、教学方法、教学手段等方面进行创新，优化课程结构，增强教学有效性；二是基于课程标准的校本化重构，从教学目标、课程内容、课堂形态等方面进行创新，开发各种优质资源，重构学校特色课程。</w:t>
            </w:r>
          </w:p>
          <w:p>
            <w:pPr>
              <w:numPr>
                <w:ilvl w:val="0"/>
                <w:numId w:val="0"/>
              </w:numPr>
              <w:ind w:firstLine="360" w:firstLineChars="20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结合调查建议发现问题完善优化课程实施策略：有效的研究性学习课程实施策略是落实核心素养的关键，我们认为：一要教学目标的校本化，从因校制宜、因人制宜角度出发聚焦核心素养，培养明辨是非的实证能力和理性客观的说理能力；二要教学内容的问题化，聚焦在学生生活情境中发现、探究并解决生活问题，将核心素养融汇其中；三要教学方式的多样化，运用灵活多变的教学方式，强调教师引导与学生探究的结合，综合知识与个案研究的结合，课内学习与课外探究的结合；四要教学评价的校本化，评价要点既考查对研究性学习的收获，也考查运用综合知识和理论解决现实情境问题的能力。</w:t>
            </w:r>
          </w:p>
          <w:p>
            <w:pPr>
              <w:numPr>
                <w:ilvl w:val="0"/>
                <w:numId w:val="0"/>
              </w:numPr>
              <w:ind w:firstLine="360" w:firstLineChars="20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2．可能的创新之处</w:t>
            </w:r>
          </w:p>
          <w:p>
            <w:pPr>
              <w:numPr>
                <w:ilvl w:val="0"/>
                <w:numId w:val="0"/>
              </w:numPr>
              <w:ind w:firstLine="360" w:firstLineChars="20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更新研究性学习发现教育理念：研究性学习课程教育的目的是超越知识本位实现育人本位，课程不应只是学科知识的补充，而应立足发现问题方法的提升，发展学生在现实情境中发现问题、分析问题、解决问题的必备品格和关键能力，实现课程观、教学观、知识观的转变。</w:t>
            </w:r>
          </w:p>
          <w:p>
            <w:pPr>
              <w:numPr>
                <w:ilvl w:val="0"/>
                <w:numId w:val="0"/>
              </w:numPr>
              <w:ind w:firstLine="360" w:firstLineChars="200"/>
              <w:jc w:val="both"/>
              <w:rPr>
                <w:rFonts w:hint="eastAsia" w:ascii="华文细黑" w:hAnsi="华文细黑" w:eastAsia="华文细黑"/>
                <w:szCs w:val="21"/>
              </w:rPr>
            </w:pPr>
            <w:r>
              <w:rPr>
                <w:rFonts w:hint="eastAsia" w:ascii="宋体" w:hAnsi="宋体" w:eastAsia="宋体" w:cs="宋体"/>
                <w:color w:val="auto"/>
                <w:sz w:val="18"/>
                <w:szCs w:val="18"/>
                <w:lang w:val="en-US" w:eastAsia="zh-CN"/>
              </w:rPr>
              <w:t>（2）更新研究性学习课程调查策略：调查设计有价值的核心问题引发学生探究欲望，激活学生探究思维；构建有意义的生活情境引领学生发现、探究、解决调查问题。</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6" w:hRule="atLeast"/>
        </w:trPr>
        <w:tc>
          <w:tcPr>
            <w:tcW w:w="0" w:type="auto"/>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华文细黑" w:hAnsi="华文细黑" w:eastAsia="华文细黑"/>
                <w:szCs w:val="21"/>
              </w:rPr>
            </w:pPr>
            <w:r>
              <w:rPr>
                <w:rFonts w:hint="eastAsia" w:ascii="华文细黑" w:hAnsi="华文细黑" w:eastAsia="华文细黑"/>
                <w:szCs w:val="21"/>
              </w:rPr>
              <w:t>（六）预期研究成果</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0" w:hRule="atLeast"/>
        </w:trPr>
        <w:tc>
          <w:tcPr>
            <w:tcW w:w="1172" w:type="dxa"/>
            <w:tcBorders>
              <w:top w:val="single" w:color="auto" w:sz="4" w:space="0"/>
              <w:left w:val="single" w:color="auto" w:sz="4" w:space="0"/>
              <w:bottom w:val="dotted" w:color="auto" w:sz="4" w:space="0"/>
              <w:right w:val="dotted" w:color="auto" w:sz="4" w:space="0"/>
            </w:tcBorders>
            <w:noWrap w:val="0"/>
            <w:vAlign w:val="top"/>
          </w:tcPr>
          <w:p>
            <w:pPr>
              <w:spacing w:line="360" w:lineRule="exact"/>
              <w:ind w:right="-107" w:rightChars="-51"/>
              <w:rPr>
                <w:rFonts w:hint="eastAsia" w:ascii="宋体" w:hAnsi="宋体"/>
                <w:b/>
                <w:szCs w:val="21"/>
              </w:rPr>
            </w:pPr>
          </w:p>
        </w:tc>
        <w:tc>
          <w:tcPr>
            <w:tcW w:w="4730" w:type="dxa"/>
            <w:tcBorders>
              <w:top w:val="single" w:color="auto" w:sz="4" w:space="0"/>
              <w:left w:val="dotted" w:color="auto" w:sz="4" w:space="0"/>
              <w:bottom w:val="dotted"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成果名称</w:t>
            </w:r>
          </w:p>
        </w:tc>
        <w:tc>
          <w:tcPr>
            <w:tcW w:w="1443" w:type="dxa"/>
            <w:tcBorders>
              <w:top w:val="single" w:color="auto" w:sz="4" w:space="0"/>
              <w:left w:val="dotted" w:color="auto" w:sz="4" w:space="0"/>
              <w:bottom w:val="dotted"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成果形式</w:t>
            </w:r>
          </w:p>
        </w:tc>
        <w:tc>
          <w:tcPr>
            <w:tcW w:w="1429" w:type="dxa"/>
            <w:tcBorders>
              <w:top w:val="single" w:color="auto" w:sz="4" w:space="0"/>
              <w:left w:val="dotted" w:color="auto" w:sz="4" w:space="0"/>
              <w:bottom w:val="dotted" w:color="auto" w:sz="4" w:space="0"/>
              <w:right w:val="single"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完成时间</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51" w:hRule="atLeast"/>
        </w:trPr>
        <w:tc>
          <w:tcPr>
            <w:tcW w:w="1172" w:type="dxa"/>
            <w:vMerge w:val="restart"/>
            <w:tcBorders>
              <w:top w:val="dotted" w:color="auto" w:sz="4" w:space="0"/>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阶段成果（限5项）</w:t>
            </w:r>
          </w:p>
        </w:tc>
        <w:tc>
          <w:tcPr>
            <w:tcW w:w="4730"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调查设计样本及调查数据结果与分析</w:t>
            </w:r>
          </w:p>
        </w:tc>
        <w:tc>
          <w:tcPr>
            <w:tcW w:w="1443"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单项调查报告</w:t>
            </w:r>
          </w:p>
        </w:tc>
        <w:tc>
          <w:tcPr>
            <w:tcW w:w="1429" w:type="dxa"/>
            <w:tcBorders>
              <w:top w:val="dotted" w:color="auto" w:sz="4" w:space="0"/>
              <w:left w:val="dotted" w:color="auto" w:sz="4" w:space="0"/>
              <w:bottom w:val="dotted" w:color="auto" w:sz="4" w:space="0"/>
              <w:right w:val="single" w:color="auto" w:sz="4" w:space="0"/>
            </w:tcBorders>
            <w:noWrap w:val="0"/>
            <w:vAlign w:val="center"/>
          </w:tcPr>
          <w:p>
            <w:pPr>
              <w:spacing w:line="360" w:lineRule="exact"/>
              <w:ind w:right="-107" w:rightChars="-51"/>
              <w:jc w:val="center"/>
              <w:rPr>
                <w:rFonts w:hint="eastAsia" w:ascii="宋体" w:hAnsi="宋体" w:eastAsia="宋体"/>
                <w:color w:val="auto"/>
                <w:kern w:val="2"/>
                <w:sz w:val="21"/>
                <w:szCs w:val="21"/>
                <w:lang w:val="en-US" w:eastAsia="zh-CN" w:bidi="ar-SA"/>
              </w:rPr>
            </w:pPr>
            <w:r>
              <w:rPr>
                <w:rFonts w:hint="eastAsia" w:ascii="宋体" w:hAnsi="宋体"/>
                <w:color w:val="auto"/>
                <w:szCs w:val="21"/>
                <w:lang w:val="en-US" w:eastAsia="zh-CN"/>
              </w:rPr>
              <w:t>2022.7</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7" w:hRule="atLeast"/>
        </w:trPr>
        <w:tc>
          <w:tcPr>
            <w:tcW w:w="1172" w:type="dxa"/>
            <w:vMerge w:val="continue"/>
            <w:tcBorders>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4730"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b/>
                <w:szCs w:val="21"/>
              </w:rPr>
            </w:pPr>
          </w:p>
        </w:tc>
        <w:tc>
          <w:tcPr>
            <w:tcW w:w="1443"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b/>
                <w:szCs w:val="21"/>
              </w:rPr>
            </w:pPr>
          </w:p>
        </w:tc>
        <w:tc>
          <w:tcPr>
            <w:tcW w:w="1429" w:type="dxa"/>
            <w:tcBorders>
              <w:top w:val="dotted" w:color="auto" w:sz="4" w:space="0"/>
              <w:left w:val="dotted" w:color="auto" w:sz="4" w:space="0"/>
              <w:bottom w:val="dotted" w:color="auto" w:sz="4" w:space="0"/>
              <w:right w:val="single" w:color="auto" w:sz="4" w:space="0"/>
            </w:tcBorders>
            <w:noWrap w:val="0"/>
            <w:vAlign w:val="center"/>
          </w:tcPr>
          <w:p>
            <w:pPr>
              <w:spacing w:line="360" w:lineRule="exact"/>
              <w:ind w:right="-107" w:rightChars="-51"/>
              <w:rPr>
                <w:rFonts w:hint="eastAsia" w:ascii="宋体" w:hAnsi="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4" w:hRule="atLeast"/>
        </w:trPr>
        <w:tc>
          <w:tcPr>
            <w:tcW w:w="1172" w:type="dxa"/>
            <w:vMerge w:val="continue"/>
            <w:tcBorders>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4730"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b/>
                <w:szCs w:val="21"/>
              </w:rPr>
            </w:pPr>
          </w:p>
        </w:tc>
        <w:tc>
          <w:tcPr>
            <w:tcW w:w="1443"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b/>
                <w:szCs w:val="21"/>
              </w:rPr>
            </w:pPr>
          </w:p>
        </w:tc>
        <w:tc>
          <w:tcPr>
            <w:tcW w:w="1429" w:type="dxa"/>
            <w:tcBorders>
              <w:top w:val="dotted" w:color="auto" w:sz="4" w:space="0"/>
              <w:left w:val="dotted" w:color="auto" w:sz="4" w:space="0"/>
              <w:bottom w:val="dotted" w:color="auto" w:sz="4" w:space="0"/>
              <w:right w:val="single" w:color="auto" w:sz="4" w:space="0"/>
            </w:tcBorders>
            <w:noWrap w:val="0"/>
            <w:vAlign w:val="center"/>
          </w:tcPr>
          <w:p>
            <w:pPr>
              <w:spacing w:line="360" w:lineRule="exact"/>
              <w:ind w:right="-107" w:rightChars="-51"/>
              <w:rPr>
                <w:rFonts w:hint="eastAsia" w:ascii="宋体" w:hAnsi="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04" w:hRule="atLeast"/>
        </w:trPr>
        <w:tc>
          <w:tcPr>
            <w:tcW w:w="1172" w:type="dxa"/>
            <w:vMerge w:val="continue"/>
            <w:tcBorders>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4730"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b/>
                <w:szCs w:val="21"/>
              </w:rPr>
            </w:pPr>
          </w:p>
        </w:tc>
        <w:tc>
          <w:tcPr>
            <w:tcW w:w="1443"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b/>
                <w:szCs w:val="21"/>
              </w:rPr>
            </w:pPr>
          </w:p>
        </w:tc>
        <w:tc>
          <w:tcPr>
            <w:tcW w:w="1429" w:type="dxa"/>
            <w:tcBorders>
              <w:top w:val="dotted" w:color="auto" w:sz="4" w:space="0"/>
              <w:left w:val="dotted" w:color="auto" w:sz="4" w:space="0"/>
              <w:bottom w:val="dotted" w:color="auto" w:sz="4" w:space="0"/>
              <w:right w:val="single" w:color="auto" w:sz="4" w:space="0"/>
            </w:tcBorders>
            <w:noWrap w:val="0"/>
            <w:vAlign w:val="center"/>
          </w:tcPr>
          <w:p>
            <w:pPr>
              <w:spacing w:line="360" w:lineRule="exact"/>
              <w:ind w:right="-107" w:rightChars="-51"/>
              <w:rPr>
                <w:rFonts w:hint="eastAsia" w:ascii="宋体" w:hAnsi="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2" w:hRule="atLeast"/>
        </w:trPr>
        <w:tc>
          <w:tcPr>
            <w:tcW w:w="1172" w:type="dxa"/>
            <w:vMerge w:val="continue"/>
            <w:tcBorders>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4730" w:type="dxa"/>
            <w:tcBorders>
              <w:top w:val="dotted" w:color="auto" w:sz="4" w:space="0"/>
              <w:left w:val="dotted" w:color="auto" w:sz="4" w:space="0"/>
              <w:right w:val="dotted" w:color="auto" w:sz="4" w:space="0"/>
            </w:tcBorders>
            <w:noWrap w:val="0"/>
            <w:vAlign w:val="center"/>
          </w:tcPr>
          <w:p>
            <w:pPr>
              <w:spacing w:line="360" w:lineRule="exact"/>
              <w:ind w:right="-107" w:rightChars="-51"/>
              <w:rPr>
                <w:rFonts w:hint="eastAsia" w:ascii="宋体" w:hAnsi="宋体"/>
                <w:b/>
                <w:szCs w:val="21"/>
              </w:rPr>
            </w:pPr>
          </w:p>
        </w:tc>
        <w:tc>
          <w:tcPr>
            <w:tcW w:w="1443" w:type="dxa"/>
            <w:tcBorders>
              <w:top w:val="dotted" w:color="auto" w:sz="4" w:space="0"/>
              <w:left w:val="dotted" w:color="auto" w:sz="4" w:space="0"/>
              <w:right w:val="dotted" w:color="auto" w:sz="4" w:space="0"/>
            </w:tcBorders>
            <w:noWrap w:val="0"/>
            <w:vAlign w:val="center"/>
          </w:tcPr>
          <w:p>
            <w:pPr>
              <w:spacing w:line="360" w:lineRule="exact"/>
              <w:ind w:right="-107" w:rightChars="-51"/>
              <w:rPr>
                <w:rFonts w:hint="eastAsia" w:ascii="宋体" w:hAnsi="宋体"/>
                <w:b/>
                <w:szCs w:val="21"/>
              </w:rPr>
            </w:pPr>
          </w:p>
        </w:tc>
        <w:tc>
          <w:tcPr>
            <w:tcW w:w="1429" w:type="dxa"/>
            <w:tcBorders>
              <w:top w:val="dotted" w:color="auto" w:sz="4" w:space="0"/>
              <w:left w:val="dotted" w:color="auto" w:sz="4" w:space="0"/>
              <w:right w:val="single" w:color="auto" w:sz="4" w:space="0"/>
            </w:tcBorders>
            <w:noWrap w:val="0"/>
            <w:vAlign w:val="center"/>
          </w:tcPr>
          <w:p>
            <w:pPr>
              <w:spacing w:line="360" w:lineRule="exact"/>
              <w:ind w:right="-107" w:rightChars="-51"/>
              <w:rPr>
                <w:rFonts w:hint="eastAsia" w:ascii="宋体" w:hAnsi="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0" w:hRule="atLeast"/>
        </w:trPr>
        <w:tc>
          <w:tcPr>
            <w:tcW w:w="1172" w:type="dxa"/>
            <w:vMerge w:val="restart"/>
            <w:tcBorders>
              <w:top w:val="dotted" w:color="auto" w:sz="4" w:space="0"/>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最终成果（限3项）</w:t>
            </w:r>
          </w:p>
        </w:tc>
        <w:tc>
          <w:tcPr>
            <w:tcW w:w="4730"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right="0" w:rightChars="0"/>
              <w:jc w:val="left"/>
              <w:textAlignment w:val="auto"/>
              <w:rPr>
                <w:rFonts w:hint="eastAsia" w:ascii="宋体" w:hAnsi="宋体"/>
                <w:color w:val="auto"/>
                <w:kern w:val="2"/>
                <w:sz w:val="21"/>
                <w:szCs w:val="21"/>
                <w:lang w:val="en-US" w:eastAsia="zh-CN" w:bidi="ar-SA"/>
              </w:rPr>
            </w:pPr>
            <w:r>
              <w:rPr>
                <w:rFonts w:hint="eastAsia" w:ascii="宋体" w:hAnsi="宋体" w:eastAsia="宋体" w:cs="宋体"/>
                <w:bCs/>
                <w:color w:val="auto"/>
                <w:kern w:val="0"/>
                <w:sz w:val="21"/>
                <w:szCs w:val="21"/>
              </w:rPr>
              <w:t>课题研究</w:t>
            </w:r>
            <w:r>
              <w:rPr>
                <w:rFonts w:hint="eastAsia" w:ascii="宋体" w:hAnsi="宋体" w:eastAsia="宋体" w:cs="宋体"/>
                <w:color w:val="auto"/>
                <w:sz w:val="21"/>
                <w:szCs w:val="21"/>
              </w:rPr>
              <w:t>结题</w:t>
            </w:r>
            <w:r>
              <w:rPr>
                <w:rFonts w:hint="eastAsia" w:ascii="宋体" w:hAnsi="宋体" w:eastAsia="宋体" w:cs="宋体"/>
                <w:color w:val="auto"/>
                <w:sz w:val="21"/>
                <w:szCs w:val="21"/>
                <w:lang w:val="en-US" w:eastAsia="zh-CN"/>
              </w:rPr>
              <w:t>调查</w:t>
            </w:r>
            <w:r>
              <w:rPr>
                <w:rFonts w:hint="eastAsia" w:ascii="宋体" w:hAnsi="宋体" w:eastAsia="宋体" w:cs="宋体"/>
                <w:color w:val="auto"/>
                <w:sz w:val="21"/>
                <w:szCs w:val="21"/>
              </w:rPr>
              <w:t>报告</w:t>
            </w:r>
          </w:p>
        </w:tc>
        <w:tc>
          <w:tcPr>
            <w:tcW w:w="1443"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color w:val="auto"/>
                <w:kern w:val="2"/>
                <w:sz w:val="21"/>
                <w:szCs w:val="21"/>
                <w:lang w:val="en-US" w:eastAsia="zh-CN" w:bidi="ar-SA"/>
              </w:rPr>
            </w:pPr>
            <w:r>
              <w:rPr>
                <w:rFonts w:hint="eastAsia"/>
                <w:color w:val="auto"/>
                <w:szCs w:val="21"/>
              </w:rPr>
              <w:t>结题报告</w:t>
            </w:r>
          </w:p>
        </w:tc>
        <w:tc>
          <w:tcPr>
            <w:tcW w:w="1429" w:type="dxa"/>
            <w:tcBorders>
              <w:top w:val="dotted" w:color="auto" w:sz="4" w:space="0"/>
              <w:left w:val="dotted" w:color="auto" w:sz="4" w:space="0"/>
              <w:bottom w:val="dotted"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color w:val="auto"/>
                <w:kern w:val="2"/>
                <w:sz w:val="21"/>
                <w:szCs w:val="21"/>
                <w:lang w:val="en-US" w:eastAsia="zh-CN" w:bidi="ar-SA"/>
              </w:rPr>
            </w:pPr>
            <w:r>
              <w:rPr>
                <w:rFonts w:hint="eastAsia" w:ascii="宋体" w:hAnsi="宋体"/>
                <w:b w:val="0"/>
                <w:bCs/>
                <w:color w:val="auto"/>
                <w:szCs w:val="21"/>
                <w:lang w:val="en-US" w:eastAsia="zh-CN"/>
              </w:rPr>
              <w:t>2022.10</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4" w:hRule="atLeast"/>
        </w:trPr>
        <w:tc>
          <w:tcPr>
            <w:tcW w:w="1172" w:type="dxa"/>
            <w:vMerge w:val="continue"/>
            <w:tcBorders>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4730"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b/>
                <w:szCs w:val="21"/>
              </w:rPr>
            </w:pPr>
          </w:p>
        </w:tc>
        <w:tc>
          <w:tcPr>
            <w:tcW w:w="1443"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b/>
                <w:szCs w:val="21"/>
              </w:rPr>
            </w:pPr>
          </w:p>
        </w:tc>
        <w:tc>
          <w:tcPr>
            <w:tcW w:w="1429" w:type="dxa"/>
            <w:tcBorders>
              <w:top w:val="dotted" w:color="auto" w:sz="4" w:space="0"/>
              <w:left w:val="dotted" w:color="auto" w:sz="4" w:space="0"/>
              <w:bottom w:val="dotted" w:color="auto" w:sz="4" w:space="0"/>
              <w:right w:val="single" w:color="auto" w:sz="4" w:space="0"/>
            </w:tcBorders>
            <w:noWrap w:val="0"/>
            <w:vAlign w:val="center"/>
          </w:tcPr>
          <w:p>
            <w:pPr>
              <w:spacing w:line="360" w:lineRule="exact"/>
              <w:ind w:right="-107" w:rightChars="-51"/>
              <w:rPr>
                <w:rFonts w:hint="eastAsia" w:ascii="宋体" w:hAnsi="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09" w:hRule="atLeast"/>
        </w:trPr>
        <w:tc>
          <w:tcPr>
            <w:tcW w:w="1172" w:type="dxa"/>
            <w:vMerge w:val="continue"/>
            <w:tcBorders>
              <w:left w:val="single" w:color="auto" w:sz="4" w:space="0"/>
              <w:bottom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4730" w:type="dxa"/>
            <w:tcBorders>
              <w:top w:val="dotted" w:color="auto" w:sz="4" w:space="0"/>
              <w:left w:val="dotted" w:color="auto" w:sz="4" w:space="0"/>
              <w:bottom w:val="single" w:color="auto" w:sz="4" w:space="0"/>
              <w:right w:val="dotted" w:color="auto" w:sz="4" w:space="0"/>
            </w:tcBorders>
            <w:noWrap w:val="0"/>
            <w:vAlign w:val="center"/>
          </w:tcPr>
          <w:p>
            <w:pPr>
              <w:spacing w:line="360" w:lineRule="exact"/>
              <w:ind w:right="-107" w:rightChars="-51"/>
              <w:rPr>
                <w:rFonts w:hint="eastAsia" w:ascii="宋体" w:hAnsi="宋体"/>
                <w:b/>
                <w:szCs w:val="21"/>
              </w:rPr>
            </w:pPr>
          </w:p>
        </w:tc>
        <w:tc>
          <w:tcPr>
            <w:tcW w:w="1443" w:type="dxa"/>
            <w:tcBorders>
              <w:top w:val="dotted" w:color="auto" w:sz="4" w:space="0"/>
              <w:left w:val="dotted" w:color="auto" w:sz="4" w:space="0"/>
              <w:bottom w:val="single" w:color="auto" w:sz="4" w:space="0"/>
              <w:right w:val="dotted" w:color="auto" w:sz="4" w:space="0"/>
            </w:tcBorders>
            <w:noWrap w:val="0"/>
            <w:vAlign w:val="center"/>
          </w:tcPr>
          <w:p>
            <w:pPr>
              <w:spacing w:line="360" w:lineRule="exact"/>
              <w:ind w:right="-107" w:rightChars="-51"/>
              <w:rPr>
                <w:rFonts w:hint="eastAsia" w:ascii="宋体" w:hAnsi="宋体"/>
                <w:b/>
                <w:szCs w:val="21"/>
              </w:rPr>
            </w:pPr>
          </w:p>
        </w:tc>
        <w:tc>
          <w:tcPr>
            <w:tcW w:w="1429" w:type="dxa"/>
            <w:tcBorders>
              <w:top w:val="dotted" w:color="auto" w:sz="4" w:space="0"/>
              <w:left w:val="dotted" w:color="auto" w:sz="4" w:space="0"/>
              <w:bottom w:val="single" w:color="auto" w:sz="4" w:space="0"/>
              <w:right w:val="single" w:color="auto" w:sz="4" w:space="0"/>
            </w:tcBorders>
            <w:noWrap w:val="0"/>
            <w:vAlign w:val="center"/>
          </w:tcPr>
          <w:p>
            <w:pPr>
              <w:spacing w:line="360" w:lineRule="exact"/>
              <w:ind w:right="-107" w:rightChars="-51"/>
              <w:rPr>
                <w:rFonts w:hint="eastAsia" w:ascii="宋体" w:hAnsi="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392" w:hRule="atLeast"/>
        </w:trPr>
        <w:tc>
          <w:tcPr>
            <w:tcW w:w="0" w:type="auto"/>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07" w:rightChars="-51"/>
              <w:rPr>
                <w:rFonts w:hint="eastAsia" w:ascii="华文细黑" w:hAnsi="华文细黑" w:eastAsia="华文细黑"/>
                <w:szCs w:val="21"/>
              </w:rPr>
            </w:pPr>
            <w:r>
              <w:rPr>
                <w:rFonts w:hint="eastAsia" w:ascii="华文细黑" w:hAnsi="华文细黑" w:eastAsia="华文细黑"/>
                <w:szCs w:val="21"/>
              </w:rPr>
              <w:t>（七）完成研究任务的可行性分析（包括：①包括课题主持人在内的课题组核心成员的学术或学科背景、研究经历、研究能力、研究成果；②研究基础，包括围绕本课题所开展的文献搜集、调研和相关论文等；③完成研究任务的保障条件，包括研究资料的获得、研究经费的筹措、研究时间的保障等。）</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2141" w:hRule="atLeast"/>
        </w:trPr>
        <w:tc>
          <w:tcPr>
            <w:tcW w:w="0" w:type="auto"/>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宋体" w:hAnsi="宋体"/>
                <w:b/>
                <w:szCs w:val="21"/>
              </w:rPr>
            </w:pPr>
          </w:p>
          <w:p>
            <w:pPr>
              <w:numPr>
                <w:ilvl w:val="0"/>
                <w:numId w:val="0"/>
              </w:numPr>
              <w:ind w:firstLine="360" w:firstLineChars="20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①研究能力</w:t>
            </w:r>
          </w:p>
          <w:p>
            <w:pPr>
              <w:numPr>
                <w:ilvl w:val="0"/>
                <w:numId w:val="0"/>
              </w:numPr>
              <w:ind w:firstLine="360" w:firstLineChars="20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学校是苏州市教育教学改革首批实验学校。课题组核心成员多数参与此项研究，成员中正高级教师1人、大市学科带头人3人，他们主要由综合实践活动课程教师、年级组长、学校德育处以及教科室主要成员构成。核心成员都共同参与或独立主持过多项省级课题，研究能力较强。2017年该课题主持人被省教育厅评为江苏省优秀教育成果奖一等奖。</w:t>
            </w:r>
          </w:p>
          <w:p>
            <w:pPr>
              <w:numPr>
                <w:ilvl w:val="0"/>
                <w:numId w:val="0"/>
              </w:numPr>
              <w:ind w:firstLine="360" w:firstLineChars="20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②研究基础</w:t>
            </w:r>
          </w:p>
          <w:p>
            <w:pPr>
              <w:numPr>
                <w:ilvl w:val="0"/>
                <w:numId w:val="0"/>
              </w:numPr>
              <w:ind w:firstLine="360" w:firstLineChars="20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在课题申报之前，本课题组做了大量的前期调研准备工作，搜集了国内外相关研究调查研究的文献资料，并形成了相关调查研究报告。课题组将围绕教学改革，开展教学实践调查研究，已取得了初步的成效。</w:t>
            </w:r>
          </w:p>
          <w:p>
            <w:pPr>
              <w:numPr>
                <w:ilvl w:val="0"/>
                <w:numId w:val="0"/>
              </w:numPr>
              <w:ind w:firstLine="360" w:firstLineChars="20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③保障条件</w:t>
            </w:r>
          </w:p>
          <w:p>
            <w:pPr>
              <w:numPr>
                <w:ilvl w:val="0"/>
                <w:numId w:val="0"/>
              </w:numPr>
              <w:ind w:firstLine="360" w:firstLineChars="20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学校会对课题研究给予人力、财力和物力的支撑。从研究资料的获得看，课题组成员大多数为一线教师，很容易从教学实践中获得第一手资料，同时，学校具有广泛而畅通的信息检索渠道。从研究经费和时间保障上看，我校系本地区先进科研单位，对经费拨付和时间支配都很规范和较宽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outlineLvl w:val="9"/>
              <w:rPr>
                <w:rFonts w:hint="eastAsia" w:ascii="仿宋" w:hAnsi="仿宋" w:eastAsia="仿宋" w:cs="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outlineLvl w:val="9"/>
              <w:rPr>
                <w:rFonts w:hint="eastAsia" w:ascii="仿宋" w:hAnsi="仿宋" w:eastAsia="仿宋" w:cs="仿宋"/>
                <w:color w:val="auto"/>
                <w:sz w:val="21"/>
                <w:szCs w:val="21"/>
                <w:lang w:val="en-US" w:eastAsia="zh-CN"/>
              </w:rPr>
            </w:pPr>
          </w:p>
          <w:p>
            <w:pPr>
              <w:spacing w:line="360" w:lineRule="exact"/>
              <w:ind w:right="-107" w:rightChars="-51"/>
              <w:rPr>
                <w:rFonts w:hint="eastAsia" w:ascii="宋体" w:hAnsi="宋体"/>
                <w:b/>
                <w:szCs w:val="21"/>
              </w:rPr>
            </w:pPr>
          </w:p>
        </w:tc>
      </w:tr>
    </w:tbl>
    <w:p>
      <w:pPr>
        <w:rPr>
          <w:rFonts w:hint="eastAsia"/>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仿宋_GB2312" w:eastAsia="仿宋_GB2312"/>
        <w:b/>
        <w:sz w:val="24"/>
        <w:szCs w:val="24"/>
      </w:rPr>
    </w:pPr>
    <w:r>
      <w:rPr>
        <w:rFonts w:hint="eastAsia" w:ascii="仿宋_GB2312" w:eastAsia="仿宋_GB2312"/>
        <w:b/>
        <w:kern w:val="0"/>
        <w:sz w:val="24"/>
        <w:szCs w:val="24"/>
      </w:rPr>
      <w:t>- 省市教育科学“十四五”规划课题申报评审活页</w:t>
    </w:r>
    <w:r>
      <w:rPr>
        <w:rFonts w:hint="eastAsia" w:ascii="仿宋_GB2312" w:eastAsia="仿宋_GB2312"/>
        <w:b/>
        <w:kern w:val="0"/>
        <w:sz w:val="24"/>
        <w:szCs w:val="24"/>
      </w:rPr>
      <w:fldChar w:fldCharType="begin"/>
    </w:r>
    <w:r>
      <w:rPr>
        <w:rFonts w:hint="eastAsia" w:ascii="仿宋_GB2312" w:eastAsia="仿宋_GB2312"/>
        <w:b/>
        <w:kern w:val="0"/>
        <w:sz w:val="24"/>
        <w:szCs w:val="24"/>
      </w:rPr>
      <w:instrText xml:space="preserve"> PAGE </w:instrText>
    </w:r>
    <w:r>
      <w:rPr>
        <w:rFonts w:hint="eastAsia" w:ascii="仿宋_GB2312" w:eastAsia="仿宋_GB2312"/>
        <w:b/>
        <w:kern w:val="0"/>
        <w:sz w:val="24"/>
        <w:szCs w:val="24"/>
      </w:rPr>
      <w:fldChar w:fldCharType="separate"/>
    </w:r>
    <w:r>
      <w:rPr>
        <w:rFonts w:ascii="仿宋_GB2312" w:eastAsia="仿宋_GB2312"/>
        <w:b/>
        <w:kern w:val="0"/>
        <w:sz w:val="24"/>
        <w:szCs w:val="24"/>
        <w:lang/>
      </w:rPr>
      <w:t>2</w:t>
    </w:r>
    <w:r>
      <w:rPr>
        <w:rFonts w:hint="eastAsia" w:ascii="仿宋_GB2312" w:eastAsia="仿宋_GB2312"/>
        <w:b/>
        <w:kern w:val="0"/>
        <w:sz w:val="24"/>
        <w:szCs w:val="24"/>
      </w:rPr>
      <w:fldChar w:fldCharType="end"/>
    </w:r>
    <w:r>
      <w:rPr>
        <w:rFonts w:hint="eastAsia" w:ascii="仿宋_GB2312" w:eastAsia="仿宋_GB2312"/>
        <w:b/>
        <w:kern w:val="0"/>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4MDdjMWViMzFiMWI1MDhhOGM0MzViMDcxMWY1MTEifQ=="/>
  </w:docVars>
  <w:rsids>
    <w:rsidRoot w:val="004E7F4C"/>
    <w:rsid w:val="00014F03"/>
    <w:rsid w:val="00073203"/>
    <w:rsid w:val="000930FE"/>
    <w:rsid w:val="0017036F"/>
    <w:rsid w:val="001D6852"/>
    <w:rsid w:val="00202514"/>
    <w:rsid w:val="00202C09"/>
    <w:rsid w:val="002051F6"/>
    <w:rsid w:val="002D4271"/>
    <w:rsid w:val="002E5872"/>
    <w:rsid w:val="0044790B"/>
    <w:rsid w:val="004E7F4C"/>
    <w:rsid w:val="005124F5"/>
    <w:rsid w:val="00527BA5"/>
    <w:rsid w:val="005C0863"/>
    <w:rsid w:val="00647605"/>
    <w:rsid w:val="006E6463"/>
    <w:rsid w:val="0072745E"/>
    <w:rsid w:val="0074230E"/>
    <w:rsid w:val="007B6A52"/>
    <w:rsid w:val="007D01D7"/>
    <w:rsid w:val="00831515"/>
    <w:rsid w:val="0084462E"/>
    <w:rsid w:val="00876273"/>
    <w:rsid w:val="00A96FDC"/>
    <w:rsid w:val="00B87500"/>
    <w:rsid w:val="00C26506"/>
    <w:rsid w:val="00C54BF1"/>
    <w:rsid w:val="00CB0102"/>
    <w:rsid w:val="00D1157C"/>
    <w:rsid w:val="00D23504"/>
    <w:rsid w:val="00D80DF7"/>
    <w:rsid w:val="00F5691A"/>
    <w:rsid w:val="00F70FB9"/>
    <w:rsid w:val="00FB45C8"/>
    <w:rsid w:val="02035762"/>
    <w:rsid w:val="033E10B5"/>
    <w:rsid w:val="07FD40F1"/>
    <w:rsid w:val="09463033"/>
    <w:rsid w:val="0DAB7F31"/>
    <w:rsid w:val="10352230"/>
    <w:rsid w:val="1D9069C3"/>
    <w:rsid w:val="1ED5252A"/>
    <w:rsid w:val="20C04EF4"/>
    <w:rsid w:val="23905520"/>
    <w:rsid w:val="266715E0"/>
    <w:rsid w:val="2E9474BC"/>
    <w:rsid w:val="2EDD7E12"/>
    <w:rsid w:val="327924F6"/>
    <w:rsid w:val="34774009"/>
    <w:rsid w:val="37767E79"/>
    <w:rsid w:val="37863643"/>
    <w:rsid w:val="3E3C50AA"/>
    <w:rsid w:val="4CC87572"/>
    <w:rsid w:val="51354AF9"/>
    <w:rsid w:val="5E486D6F"/>
    <w:rsid w:val="65E57C43"/>
    <w:rsid w:val="695C546C"/>
    <w:rsid w:val="73B27C6E"/>
    <w:rsid w:val="763D0BBB"/>
    <w:rsid w:val="798722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5</Pages>
  <Words>4998</Words>
  <Characters>5101</Characters>
  <Lines>3</Lines>
  <Paragraphs>1</Paragraphs>
  <TotalTime>26</TotalTime>
  <ScaleCrop>false</ScaleCrop>
  <LinksUpToDate>false</LinksUpToDate>
  <CharactersWithSpaces>5152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2019-07-04T02:11:00Z</dcterms:created>
  <dc:creator>csl</dc:creator>
  <cp:lastModifiedBy>群雁</cp:lastModifiedBy>
  <cp:lastPrinted>2016-08-30T01:16:00Z</cp:lastPrinted>
  <dcterms:modified xsi:type="dcterms:W3CDTF">2022-05-16T03:26:10Z</dcterms:modified>
  <dc:title>编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010464C9DD314CE7B2D2162AA29529DC</vt:lpwstr>
  </property>
</Properties>
</file>